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4CDC" w14:textId="77777777" w:rsidR="00BF3B4F" w:rsidRPr="001C6A26" w:rsidRDefault="001C6A26">
      <w:pPr>
        <w:pStyle w:val="Title"/>
        <w:rPr>
          <w:rFonts w:asciiTheme="minorHAnsi" w:hAnsiTheme="minorHAnsi"/>
        </w:rPr>
      </w:pPr>
      <w:r w:rsidRPr="001C6A26">
        <w:rPr>
          <w:rFonts w:asciiTheme="minorHAnsi" w:hAnsiTheme="minorHAnsi"/>
        </w:rPr>
        <w:t>Modeling Report 2</w:t>
      </w:r>
    </w:p>
    <w:p w14:paraId="3C0B8C1B" w14:textId="77777777" w:rsidR="00BF3B4F" w:rsidRPr="001C6A26" w:rsidRDefault="001C6A26">
      <w:pPr>
        <w:rPr>
          <w:rFonts w:asciiTheme="minorHAnsi" w:eastAsia="Calibri" w:hAnsiTheme="minorHAnsi"/>
        </w:rPr>
      </w:pPr>
      <w:r w:rsidRPr="001C6A26">
        <w:rPr>
          <w:rFonts w:asciiTheme="minorHAnsi" w:eastAsia="Calibri" w:hAnsiTheme="minorHAnsi"/>
        </w:rPr>
        <w:t>Arizona Department of Health Services</w:t>
      </w:r>
    </w:p>
    <w:p w14:paraId="220ACF23" w14:textId="77777777" w:rsidR="00BF3B4F" w:rsidRPr="001C6A26" w:rsidRDefault="001C6A26">
      <w:pPr>
        <w:rPr>
          <w:rFonts w:asciiTheme="minorHAnsi" w:eastAsia="Calibri" w:hAnsiTheme="minorHAnsi"/>
        </w:rPr>
      </w:pPr>
      <w:r w:rsidRPr="001C6A26">
        <w:rPr>
          <w:rFonts w:asciiTheme="minorHAnsi" w:eastAsia="Calibri" w:hAnsiTheme="minorHAnsi"/>
        </w:rPr>
        <w:t>COVID-19 Modeling Working Group 1</w:t>
      </w:r>
    </w:p>
    <w:p w14:paraId="13B937B3"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Authors: Tim </w:t>
      </w:r>
      <w:proofErr w:type="spellStart"/>
      <w:r w:rsidRPr="001C6A26">
        <w:rPr>
          <w:rFonts w:asciiTheme="minorHAnsi" w:eastAsia="Calibri" w:hAnsiTheme="minorHAnsi"/>
        </w:rPr>
        <w:t>Lant</w:t>
      </w:r>
      <w:proofErr w:type="spellEnd"/>
      <w:r w:rsidRPr="001C6A26">
        <w:rPr>
          <w:rFonts w:asciiTheme="minorHAnsi" w:eastAsia="Calibri" w:hAnsiTheme="minorHAnsi"/>
        </w:rPr>
        <w:t xml:space="preserve">, PhD, MAS; Megan </w:t>
      </w:r>
      <w:proofErr w:type="spellStart"/>
      <w:r w:rsidRPr="001C6A26">
        <w:rPr>
          <w:rFonts w:asciiTheme="minorHAnsi" w:eastAsia="Calibri" w:hAnsiTheme="minorHAnsi"/>
        </w:rPr>
        <w:t>Jehn</w:t>
      </w:r>
      <w:proofErr w:type="spellEnd"/>
      <w:r w:rsidRPr="001C6A26">
        <w:rPr>
          <w:rFonts w:asciiTheme="minorHAnsi" w:eastAsia="Calibri" w:hAnsiTheme="minorHAnsi"/>
        </w:rPr>
        <w:t xml:space="preserve">, PhD; </w:t>
      </w:r>
      <w:proofErr w:type="spellStart"/>
      <w:r w:rsidRPr="001C6A26">
        <w:rPr>
          <w:rFonts w:asciiTheme="minorHAnsi" w:eastAsia="Calibri" w:hAnsiTheme="minorHAnsi"/>
        </w:rPr>
        <w:t>Esma</w:t>
      </w:r>
      <w:proofErr w:type="spellEnd"/>
      <w:r w:rsidRPr="001C6A26">
        <w:rPr>
          <w:rFonts w:asciiTheme="minorHAnsi" w:eastAsia="Calibri" w:hAnsiTheme="minorHAnsi"/>
        </w:rPr>
        <w:t xml:space="preserve"> Gel, PhD; Anna Muldoon, MPH; Heather Ross PhD, DNP, ANP-BC</w:t>
      </w:r>
    </w:p>
    <w:p w14:paraId="439A9A87" w14:textId="77777777" w:rsidR="00BF3B4F" w:rsidRPr="001C6A26" w:rsidRDefault="001C6A26">
      <w:pPr>
        <w:rPr>
          <w:rFonts w:asciiTheme="minorHAnsi" w:eastAsia="Calibri" w:hAnsiTheme="minorHAnsi"/>
        </w:rPr>
      </w:pPr>
      <w:r w:rsidRPr="001C6A26">
        <w:rPr>
          <w:rFonts w:asciiTheme="minorHAnsi" w:eastAsia="Calibri" w:hAnsiTheme="minorHAnsi"/>
        </w:rPr>
        <w:t>April 20, 2020</w:t>
      </w:r>
    </w:p>
    <w:p w14:paraId="1D271858" w14:textId="77777777" w:rsidR="00BF3B4F" w:rsidRPr="001C6A26" w:rsidRDefault="00BF3B4F">
      <w:pPr>
        <w:rPr>
          <w:rFonts w:asciiTheme="minorHAnsi" w:eastAsia="Calibri" w:hAnsiTheme="minorHAnsi"/>
        </w:rPr>
      </w:pPr>
    </w:p>
    <w:p w14:paraId="7FDD9FA3" w14:textId="77777777" w:rsidR="00BF3B4F" w:rsidRPr="001C6A26" w:rsidRDefault="001C6A26">
      <w:pPr>
        <w:pStyle w:val="Heading1"/>
        <w:rPr>
          <w:rFonts w:asciiTheme="minorHAnsi" w:hAnsiTheme="minorHAnsi"/>
        </w:rPr>
      </w:pPr>
      <w:r w:rsidRPr="001C6A26">
        <w:rPr>
          <w:rFonts w:asciiTheme="minorHAnsi" w:hAnsiTheme="minorHAnsi"/>
        </w:rPr>
        <w:t>Executive Summary</w:t>
      </w:r>
    </w:p>
    <w:p w14:paraId="74422ED7" w14:textId="3868E5AE" w:rsidR="00BF3B4F" w:rsidRPr="001C6A26" w:rsidRDefault="001C6A26">
      <w:pPr>
        <w:rPr>
          <w:rFonts w:asciiTheme="minorHAnsi" w:eastAsia="Calibri" w:hAnsiTheme="minorHAnsi"/>
        </w:rPr>
      </w:pPr>
      <w:r w:rsidRPr="001C6A26">
        <w:rPr>
          <w:rFonts w:asciiTheme="minorHAnsi" w:eastAsia="Calibri" w:hAnsiTheme="minorHAnsi"/>
        </w:rPr>
        <w:t xml:space="preserve">Since Arizona confirmed its first case of COVID-19 on January 26, 2020, the state has activated public health and emergency management capabilities. The Arizona Department of Health Services (ADHS) convened the COVID-19 ADHS Modeling Working Group to develop models and predictions focused on Arizona. This second report of that Working Group updates the current </w:t>
      </w:r>
      <w:proofErr w:type="spellStart"/>
      <w:r w:rsidR="42FF08A2" w:rsidRPr="00853A92">
        <w:rPr>
          <w:rFonts w:asciiTheme="minorHAnsi" w:hAnsiTheme="minorHAnsi" w:cstheme="minorHAnsi"/>
        </w:rPr>
        <w:t>current</w:t>
      </w:r>
      <w:proofErr w:type="spellEnd"/>
      <w:r w:rsidR="42FF08A2" w:rsidRPr="00853A92">
        <w:rPr>
          <w:rFonts w:asciiTheme="minorHAnsi" w:hAnsiTheme="minorHAnsi" w:cstheme="minorHAnsi"/>
        </w:rPr>
        <w:t xml:space="preserve"> </w:t>
      </w:r>
      <w:r w:rsidRPr="001C6A26">
        <w:rPr>
          <w:rFonts w:asciiTheme="minorHAnsi" w:eastAsia="Calibri" w:hAnsiTheme="minorHAnsi"/>
        </w:rPr>
        <w:t xml:space="preserve">epidemiology in Arizona and provides updated estimates of future cases as of April 20. </w:t>
      </w:r>
    </w:p>
    <w:p w14:paraId="2A0BED69" w14:textId="77777777" w:rsidR="00BF3B4F" w:rsidRPr="001C6A26" w:rsidRDefault="00BF3B4F">
      <w:pPr>
        <w:rPr>
          <w:rFonts w:asciiTheme="minorHAnsi" w:eastAsia="Calibri" w:hAnsiTheme="minorHAnsi"/>
        </w:rPr>
      </w:pPr>
    </w:p>
    <w:p w14:paraId="269FA000" w14:textId="78805033" w:rsidR="00BF3B4F" w:rsidRPr="001C6A26" w:rsidRDefault="001C6A26">
      <w:pPr>
        <w:rPr>
          <w:rFonts w:asciiTheme="minorHAnsi" w:eastAsia="Calibri" w:hAnsiTheme="minorHAnsi"/>
        </w:rPr>
      </w:pPr>
      <w:r w:rsidRPr="001C6A26">
        <w:rPr>
          <w:rFonts w:asciiTheme="minorHAnsi" w:eastAsia="Calibri" w:hAnsiTheme="minorHAnsi"/>
        </w:rPr>
        <w:t>At the present time, Arizona is showing signs of being at or near the peak of infections and hospitalizations based on current testing practices and continuation of current non-pharmaceutical interventions including social distancing.</w:t>
      </w:r>
      <w:r w:rsidR="00BB3A9F" w:rsidRPr="00832787">
        <w:rPr>
          <w:rFonts w:asciiTheme="minorHAnsi" w:hAnsiTheme="minorHAnsi" w:cstheme="minorHAnsi"/>
        </w:rPr>
        <w:t xml:space="preserve">  </w:t>
      </w:r>
      <w:r w:rsidR="00832787" w:rsidRPr="00832787">
        <w:rPr>
          <w:rFonts w:asciiTheme="minorHAnsi" w:eastAsiaTheme="minorHAnsi" w:hAnsiTheme="minorHAnsi" w:cstheme="minorHAnsi"/>
        </w:rPr>
        <w:t>The projected peak appears to have a flattened and longer-duration shape, consistent with efforts toward physical distancing.</w:t>
      </w:r>
      <w:r w:rsidRPr="001C6A26">
        <w:rPr>
          <w:rFonts w:asciiTheme="minorHAnsi" w:eastAsia="Calibri" w:hAnsiTheme="minorHAnsi"/>
        </w:rPr>
        <w:t xml:space="preserve">  All signs indicate that Arizona’s aggressive actions to limit COVID-19 spread were effective at preventing a surge of patients that exceeded medical resources.  This report aims to provide an evidence base consistent with the White House Guidelines for Opening Up America Again.  Projections are based on a dynamic disease transmission model developed by the authors for the purpose of estimating COVID-19 transmission in Arizona.  </w:t>
      </w:r>
    </w:p>
    <w:p w14:paraId="54C9E515" w14:textId="77777777" w:rsidR="00BF3B4F" w:rsidRPr="001C6A26" w:rsidRDefault="00BF3B4F">
      <w:pPr>
        <w:rPr>
          <w:rFonts w:asciiTheme="minorHAnsi" w:eastAsia="Calibri" w:hAnsiTheme="minorHAnsi"/>
        </w:rPr>
      </w:pPr>
    </w:p>
    <w:p w14:paraId="60664299" w14:textId="77777777" w:rsidR="00BF3B4F" w:rsidRPr="001C6A26" w:rsidRDefault="001C6A26">
      <w:pPr>
        <w:rPr>
          <w:rFonts w:asciiTheme="minorHAnsi" w:eastAsia="Calibri" w:hAnsiTheme="minorHAnsi"/>
        </w:rPr>
      </w:pPr>
      <w:r w:rsidRPr="001C6A26">
        <w:rPr>
          <w:rFonts w:asciiTheme="minorHAnsi" w:eastAsia="Calibri" w:hAnsiTheme="minorHAnsi"/>
        </w:rPr>
        <w:t>This report provides projections of new cases and deaths from COVID-19, based on the best available science and Arizona case data. It produces daily counts for infected individuals and daily counts for deaths for five plausible scenarios, last updated on April 20. It also provides scenario-based estimates of resource needs for hospital beds, ICU beds, and ventilators. This report does not include a capacity assessment at this time. It is a resource estimate of the beds and ventilators that would benefit a COVID-19 patient if it were available.</w:t>
      </w:r>
    </w:p>
    <w:p w14:paraId="4E15DDF8" w14:textId="77777777" w:rsidR="00BF3B4F" w:rsidRPr="001C6A26" w:rsidRDefault="001C6A26">
      <w:pPr>
        <w:pStyle w:val="Heading1"/>
        <w:rPr>
          <w:rFonts w:asciiTheme="minorHAnsi" w:hAnsiTheme="minorHAnsi"/>
        </w:rPr>
      </w:pPr>
      <w:r w:rsidRPr="001C6A26">
        <w:rPr>
          <w:rFonts w:asciiTheme="minorHAnsi" w:hAnsiTheme="minorHAnsi"/>
        </w:rPr>
        <w:t>Background and Overview of Working Group</w:t>
      </w:r>
    </w:p>
    <w:p w14:paraId="37F14CA2" w14:textId="77777777" w:rsidR="00BF3B4F" w:rsidRPr="001C6A26" w:rsidRDefault="00BF3B4F">
      <w:pPr>
        <w:rPr>
          <w:rFonts w:asciiTheme="minorHAnsi" w:eastAsia="Calibri" w:hAnsiTheme="minorHAnsi"/>
        </w:rPr>
      </w:pPr>
    </w:p>
    <w:p w14:paraId="3F15BF04"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Arizona confirmed its first case of COVID-19 on January 26, 2020.  Between January and the present time, the state of Arizona has activated their public health and emergency management response capabilities in preparation for a potential surge in cases.  The Arizona Department of Health Services (ADHS) and the Office of the Arizona Governor, Doug </w:t>
      </w:r>
      <w:proofErr w:type="spellStart"/>
      <w:r w:rsidRPr="001C6A26">
        <w:rPr>
          <w:rFonts w:asciiTheme="minorHAnsi" w:eastAsia="Calibri" w:hAnsiTheme="minorHAnsi"/>
        </w:rPr>
        <w:t>Ducey</w:t>
      </w:r>
      <w:proofErr w:type="spellEnd"/>
      <w:r w:rsidRPr="001C6A26">
        <w:rPr>
          <w:rFonts w:asciiTheme="minorHAnsi" w:eastAsia="Calibri" w:hAnsiTheme="minorHAnsi"/>
        </w:rPr>
        <w:t xml:space="preserve">, have been working in concert with federal guidance from the Centers for Disease Control and Prevention (CDC) and the Federal COVID-19 Task Force to respond to individual cases and enact policies to protect the health of Arizonans.  </w:t>
      </w:r>
    </w:p>
    <w:p w14:paraId="404DBFF7" w14:textId="77777777" w:rsidR="00BF3B4F" w:rsidRPr="001C6A26" w:rsidRDefault="00BF3B4F">
      <w:pPr>
        <w:rPr>
          <w:rFonts w:asciiTheme="minorHAnsi" w:eastAsia="Calibri" w:hAnsiTheme="minorHAnsi"/>
        </w:rPr>
      </w:pPr>
    </w:p>
    <w:p w14:paraId="01CA3376" w14:textId="6D91BC72" w:rsidR="00BF3B4F" w:rsidRPr="001C6A26" w:rsidRDefault="001C6A26">
      <w:pPr>
        <w:rPr>
          <w:rFonts w:asciiTheme="minorHAnsi" w:eastAsia="Calibri" w:hAnsiTheme="minorHAnsi"/>
        </w:rPr>
      </w:pPr>
      <w:r w:rsidRPr="001C6A26">
        <w:rPr>
          <w:rFonts w:asciiTheme="minorHAnsi" w:eastAsia="Calibri" w:hAnsiTheme="minorHAnsi"/>
        </w:rPr>
        <w:lastRenderedPageBreak/>
        <w:t xml:space="preserve">At the time of this analysis, Arizona has measurable COVID-19 community spread across all 15 counties and the state is under orders to limit social contact and remain at home other than conducting essential activities. </w:t>
      </w:r>
      <w:r w:rsidR="42FF08A2" w:rsidRPr="00853A92">
        <w:rPr>
          <w:rFonts w:asciiTheme="minorHAnsi" w:hAnsiTheme="minorHAnsi" w:cstheme="minorHAnsi"/>
        </w:rPr>
        <w:t>Businesses</w:t>
      </w:r>
      <w:r w:rsidRPr="001C6A26">
        <w:rPr>
          <w:rFonts w:asciiTheme="minorHAnsi" w:eastAsia="Calibri" w:hAnsiTheme="minorHAnsi"/>
        </w:rPr>
        <w:t xml:space="preserve"> and schools are closed.  Essential businesses including grocery stores, pharmacies, gas stations, and take-out/drive-through restaurants remain open under social distancing guidelines.  Governor </w:t>
      </w:r>
      <w:proofErr w:type="spellStart"/>
      <w:r w:rsidRPr="001C6A26">
        <w:rPr>
          <w:rFonts w:asciiTheme="minorHAnsi" w:eastAsia="Calibri" w:hAnsiTheme="minorHAnsi"/>
        </w:rPr>
        <w:t>Ducey</w:t>
      </w:r>
      <w:proofErr w:type="spellEnd"/>
      <w:r w:rsidRPr="001C6A26">
        <w:rPr>
          <w:rFonts w:asciiTheme="minorHAnsi" w:eastAsia="Calibri" w:hAnsiTheme="minorHAnsi"/>
        </w:rPr>
        <w:t xml:space="preserve"> issued a Declaration of Public Health Emergency on March 11, 2020, and a Stay-at-Home Executive Order on March 30, 2020 outlining essential businesses, with the list of essential businesses updated on April 3, 2020.  The Executive Order expires on April 30, and it is unknown at the present time if it will be safe to re-open businesses and schools at that time.  </w:t>
      </w:r>
    </w:p>
    <w:p w14:paraId="4524E958" w14:textId="77777777" w:rsidR="00BF3B4F" w:rsidRPr="001C6A26" w:rsidRDefault="00BF3B4F">
      <w:pPr>
        <w:rPr>
          <w:rFonts w:asciiTheme="minorHAnsi" w:eastAsia="Calibri" w:hAnsiTheme="minorHAnsi"/>
        </w:rPr>
      </w:pPr>
    </w:p>
    <w:p w14:paraId="3418A6A5"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In an effort to improve the statewide and local pandemic response in Arizona, ADHS is seeking input from the scientific community in Arizona to help inform key planning assumptions and decisions.  A number of COVID-19 related issues confronting public health officials will benefit from scientific input to enable appropriate planning and decision-making, including resource acquisition, business and public service closures, social movement restrictions, and government planning for future budgeting and planning the resumption of normal public activities and services.  The COVID-19 ADHS Modeling Working Group was convened by ADHS to bring together the relevant scientists in the state to inform the state’s response decisions and planning.  The Working Group consists of experts in clinical medicine, epidemiology, mathematical modeling, public health, policy analysis, industrial engineering, and economics.  </w:t>
      </w:r>
    </w:p>
    <w:p w14:paraId="30BDD1F9" w14:textId="77777777" w:rsidR="00BF3B4F" w:rsidRPr="001C6A26" w:rsidRDefault="00BF3B4F">
      <w:pPr>
        <w:rPr>
          <w:rFonts w:asciiTheme="minorHAnsi" w:eastAsia="Calibri" w:hAnsiTheme="minorHAnsi"/>
        </w:rPr>
      </w:pPr>
    </w:p>
    <w:p w14:paraId="7D2D029D" w14:textId="77777777" w:rsidR="00BF3B4F" w:rsidRPr="001C6A26" w:rsidRDefault="001C6A26">
      <w:pPr>
        <w:pStyle w:val="Heading2"/>
        <w:rPr>
          <w:rFonts w:asciiTheme="minorHAnsi" w:hAnsiTheme="minorHAnsi"/>
        </w:rPr>
      </w:pPr>
      <w:r w:rsidRPr="001C6A26">
        <w:rPr>
          <w:rFonts w:asciiTheme="minorHAnsi" w:hAnsiTheme="minorHAnsi"/>
        </w:rPr>
        <w:t>Tasking of the Working Group</w:t>
      </w:r>
    </w:p>
    <w:p w14:paraId="42CA33FA" w14:textId="77777777" w:rsidR="00BF3B4F" w:rsidRPr="001C6A26" w:rsidRDefault="001C6A26">
      <w:pPr>
        <w:rPr>
          <w:rFonts w:asciiTheme="minorHAnsi" w:eastAsia="Calibri" w:hAnsiTheme="minorHAnsi"/>
        </w:rPr>
      </w:pPr>
      <w:r w:rsidRPr="001C6A26">
        <w:rPr>
          <w:rFonts w:asciiTheme="minorHAnsi" w:eastAsia="Calibri" w:hAnsiTheme="minorHAnsi"/>
        </w:rPr>
        <w:t>ADHS convened the COVID-19 ADHS Modeling Working Group to coordinate the appropriate subject matter experts and modelers to develop estimates for these requirements:</w:t>
      </w:r>
    </w:p>
    <w:p w14:paraId="6238C9DF" w14:textId="77777777" w:rsidR="00BF3B4F" w:rsidRPr="001C6A26" w:rsidRDefault="00BF3B4F">
      <w:pPr>
        <w:rPr>
          <w:rFonts w:asciiTheme="minorHAnsi" w:eastAsia="Calibri" w:hAnsiTheme="minorHAnsi"/>
        </w:rPr>
      </w:pPr>
    </w:p>
    <w:p w14:paraId="37A557DD" w14:textId="77777777" w:rsidR="00BF3B4F" w:rsidRPr="001C6A26" w:rsidRDefault="001C6A26" w:rsidP="001C6A26">
      <w:pPr>
        <w:pStyle w:val="ListParagraph"/>
        <w:numPr>
          <w:ilvl w:val="1"/>
          <w:numId w:val="3"/>
        </w:numPr>
        <w:rPr>
          <w:color w:val="000000"/>
        </w:rPr>
      </w:pPr>
      <w:r w:rsidRPr="001C6A26">
        <w:rPr>
          <w:color w:val="000000"/>
        </w:rPr>
        <w:t xml:space="preserve">A projection of new cases and deaths from COVID-19 - going out at least 2 to 4 weeks into the future.  This will need to be continuously updated and adjusted as new data come in.  </w:t>
      </w:r>
    </w:p>
    <w:p w14:paraId="5D2889AF" w14:textId="77777777" w:rsidR="00BF3B4F" w:rsidRPr="001C6A26" w:rsidRDefault="001C6A26" w:rsidP="001C6A26">
      <w:pPr>
        <w:pStyle w:val="ListParagraph"/>
        <w:numPr>
          <w:ilvl w:val="1"/>
          <w:numId w:val="3"/>
        </w:numPr>
        <w:rPr>
          <w:color w:val="000000"/>
        </w:rPr>
      </w:pPr>
      <w:r w:rsidRPr="001C6A26">
        <w:rPr>
          <w:color w:val="000000"/>
        </w:rPr>
        <w:t>Projection of the hospital capacity tipping point</w:t>
      </w:r>
    </w:p>
    <w:p w14:paraId="7736D497" w14:textId="77777777" w:rsidR="00BF3B4F" w:rsidRPr="001C6A26" w:rsidRDefault="001C6A26" w:rsidP="001C6A26">
      <w:pPr>
        <w:pStyle w:val="ListParagraph"/>
        <w:numPr>
          <w:ilvl w:val="1"/>
          <w:numId w:val="3"/>
        </w:numPr>
        <w:rPr>
          <w:color w:val="000000"/>
        </w:rPr>
      </w:pPr>
      <w:r w:rsidRPr="001C6A26">
        <w:rPr>
          <w:color w:val="000000"/>
        </w:rPr>
        <w:t>Projections of PPE needs, taking into account alterations in use of PPE for current best practice, and changes in the patient case loads</w:t>
      </w:r>
    </w:p>
    <w:p w14:paraId="0D8692C7" w14:textId="77777777" w:rsidR="00BF3B4F" w:rsidRPr="001C6A26" w:rsidRDefault="001C6A26" w:rsidP="001C6A26">
      <w:pPr>
        <w:pStyle w:val="ListParagraph"/>
        <w:numPr>
          <w:ilvl w:val="1"/>
          <w:numId w:val="3"/>
        </w:numPr>
        <w:rPr>
          <w:color w:val="000000"/>
        </w:rPr>
      </w:pPr>
      <w:r w:rsidRPr="001C6A26">
        <w:rPr>
          <w:color w:val="000000"/>
        </w:rPr>
        <w:t>Projections of ventilator demand and supply in AZ by region</w:t>
      </w:r>
    </w:p>
    <w:p w14:paraId="7EB9A1BF" w14:textId="77777777" w:rsidR="00BF3B4F" w:rsidRPr="001C6A26" w:rsidRDefault="001C6A26" w:rsidP="001C6A26">
      <w:pPr>
        <w:pStyle w:val="ListParagraph"/>
        <w:numPr>
          <w:ilvl w:val="1"/>
          <w:numId w:val="3"/>
        </w:numPr>
        <w:rPr>
          <w:color w:val="000000"/>
        </w:rPr>
      </w:pPr>
      <w:r w:rsidRPr="001C6A26">
        <w:rPr>
          <w:color w:val="000000"/>
        </w:rPr>
        <w:t xml:space="preserve">Economic impact of current public health interventions.  </w:t>
      </w:r>
    </w:p>
    <w:p w14:paraId="327F2B34" w14:textId="77777777" w:rsidR="00BF3B4F" w:rsidRPr="001C6A26" w:rsidRDefault="00BF3B4F">
      <w:pPr>
        <w:rPr>
          <w:rFonts w:asciiTheme="minorHAnsi" w:eastAsia="Calibri" w:hAnsiTheme="minorHAnsi"/>
        </w:rPr>
      </w:pPr>
    </w:p>
    <w:p w14:paraId="53A92575"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Modeling Working Group (MWG) has been meeting weekly since March 26 to discuss the request and review new information and models.  Sub-groups formed to address each analysis.  ADHS sent multiple emails to the group with information and data resources.  The MWG distributed internally via email several summaries and information resources for discussion and analysis.  ADHS held two training sessions on MEDSIS and the syndromic surveillance system for MWG members to ensure members can access up-to-date information.  ADHS convened a meeting on April 2 for the MWG to present initial model results at which the MWG agreed on a modeling approach to address each of the areas.  </w:t>
      </w:r>
    </w:p>
    <w:p w14:paraId="1B0EE2DB" w14:textId="77777777" w:rsidR="00BF3B4F" w:rsidRPr="001C6A26" w:rsidRDefault="00BF3B4F">
      <w:pPr>
        <w:rPr>
          <w:rFonts w:asciiTheme="minorHAnsi" w:eastAsia="Calibri" w:hAnsiTheme="minorHAnsi"/>
        </w:rPr>
      </w:pPr>
    </w:p>
    <w:p w14:paraId="2521ADDF" w14:textId="77777777" w:rsidR="00BF3B4F" w:rsidRPr="001C6A26" w:rsidRDefault="001C6A26">
      <w:pPr>
        <w:rPr>
          <w:rFonts w:asciiTheme="minorHAnsi" w:eastAsia="Calibri" w:hAnsiTheme="minorHAnsi"/>
        </w:rPr>
      </w:pPr>
      <w:r w:rsidRPr="001C6A26">
        <w:rPr>
          <w:rFonts w:asciiTheme="minorHAnsi" w:eastAsia="Calibri" w:hAnsiTheme="minorHAnsi"/>
        </w:rPr>
        <w:lastRenderedPageBreak/>
        <w:t xml:space="preserve">This report – Report 2 of the Modeling MWG – provides updates to Item </w:t>
      </w:r>
      <w:proofErr w:type="spellStart"/>
      <w:r w:rsidRPr="001C6A26">
        <w:rPr>
          <w:rFonts w:asciiTheme="minorHAnsi" w:eastAsia="Calibri" w:hAnsiTheme="minorHAnsi"/>
        </w:rPr>
        <w:t>i</w:t>
      </w:r>
      <w:proofErr w:type="spellEnd"/>
      <w:r w:rsidRPr="001C6A26">
        <w:rPr>
          <w:rFonts w:asciiTheme="minorHAnsi" w:eastAsia="Calibri" w:hAnsiTheme="minorHAnsi"/>
        </w:rPr>
        <w:t xml:space="preserve">: A projection of New Cases and Deaths from the COVID-19.  It produces daily counts for newly infected individuals and daily counts for deaths for five plausible scenarios.  It also provides updated scenario-based estimates of resource needs for hospital beds, ICU beds, and ventilators (items ii, iii, and iv).  This report does not include a capacity assessment at this time.  It is a resource estimate of the space and equipment that would benefit a COVID-19 patient if it were available.  In other words, this assessment assumes unlimited resources in order to predict the total need or requirement.     </w:t>
      </w:r>
    </w:p>
    <w:p w14:paraId="18181456" w14:textId="77777777" w:rsidR="00BF3B4F" w:rsidRPr="001C6A26" w:rsidRDefault="00BF3B4F">
      <w:pPr>
        <w:rPr>
          <w:rFonts w:asciiTheme="minorHAnsi" w:eastAsia="Calibri" w:hAnsiTheme="minorHAnsi"/>
        </w:rPr>
      </w:pPr>
    </w:p>
    <w:p w14:paraId="6ED0F64A" w14:textId="77777777" w:rsidR="00BF3B4F" w:rsidRPr="001C6A26" w:rsidRDefault="001C6A26">
      <w:pPr>
        <w:rPr>
          <w:rFonts w:asciiTheme="minorHAnsi" w:eastAsia="Calibri" w:hAnsiTheme="minorHAnsi"/>
        </w:rPr>
      </w:pPr>
      <w:r w:rsidRPr="001C6A26">
        <w:rPr>
          <w:rFonts w:asciiTheme="minorHAnsi" w:eastAsia="Calibri" w:hAnsiTheme="minorHAnsi"/>
        </w:rPr>
        <w:t>This preliminary modeling report was developed by Arizona State University with input from Working Group members at the University of Arizona and ADHS.</w:t>
      </w:r>
    </w:p>
    <w:p w14:paraId="618566EC" w14:textId="77777777" w:rsidR="00BF3B4F" w:rsidRPr="001C6A26" w:rsidRDefault="00BF3B4F">
      <w:pPr>
        <w:rPr>
          <w:rFonts w:asciiTheme="minorHAnsi" w:eastAsia="Calibri" w:hAnsiTheme="minorHAnsi"/>
        </w:rPr>
      </w:pPr>
    </w:p>
    <w:p w14:paraId="55CA5741" w14:textId="77777777" w:rsidR="00BF3B4F" w:rsidRPr="001C6A26" w:rsidRDefault="001C6A26">
      <w:pPr>
        <w:pStyle w:val="Heading2"/>
        <w:rPr>
          <w:rFonts w:asciiTheme="minorHAnsi" w:hAnsiTheme="minorHAnsi"/>
        </w:rPr>
      </w:pPr>
      <w:r w:rsidRPr="001C6A26">
        <w:rPr>
          <w:rFonts w:asciiTheme="minorHAnsi" w:hAnsiTheme="minorHAnsi"/>
        </w:rPr>
        <w:t>Current situation</w:t>
      </w:r>
    </w:p>
    <w:p w14:paraId="4E824B8D"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As of April 20, 2020, there were 5,064 reported cases and 187 deaths in Arizona.  </w:t>
      </w:r>
    </w:p>
    <w:p w14:paraId="25443CFE" w14:textId="77777777" w:rsidR="000C66C0" w:rsidRDefault="00422B5B" w:rsidP="00853A92">
      <w:pPr>
        <w:jc w:val="center"/>
        <w:rPr>
          <w:rFonts w:asciiTheme="minorHAnsi" w:hAnsiTheme="minorHAnsi" w:cstheme="minorHAnsi"/>
        </w:rPr>
      </w:pPr>
      <w:r w:rsidRPr="00422B5B">
        <w:rPr>
          <w:rFonts w:asciiTheme="minorHAnsi" w:hAnsiTheme="minorHAnsi" w:cstheme="minorHAnsi"/>
          <w:noProof/>
        </w:rPr>
        <w:drawing>
          <wp:inline distT="0" distB="0" distL="0" distR="0" wp14:anchorId="3EDB9919" wp14:editId="098D357E">
            <wp:extent cx="5152812" cy="151553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2539" cy="1518394"/>
                    </a:xfrm>
                    <a:prstGeom prst="rect">
                      <a:avLst/>
                    </a:prstGeom>
                  </pic:spPr>
                </pic:pic>
              </a:graphicData>
            </a:graphic>
          </wp:inline>
        </w:drawing>
      </w:r>
    </w:p>
    <w:p w14:paraId="45E4ACD2" w14:textId="77777777" w:rsidR="00853A92" w:rsidRDefault="00853A92" w:rsidP="00274C64">
      <w:pPr>
        <w:rPr>
          <w:rFonts w:asciiTheme="minorHAnsi" w:hAnsiTheme="minorHAnsi" w:cstheme="minorHAnsi"/>
        </w:rPr>
      </w:pPr>
    </w:p>
    <w:p w14:paraId="70C6D83E" w14:textId="77777777" w:rsidR="00853A92" w:rsidRPr="00853A92" w:rsidRDefault="00853A92" w:rsidP="00274C64">
      <w:pPr>
        <w:rPr>
          <w:rFonts w:asciiTheme="minorHAnsi" w:hAnsiTheme="minorHAnsi" w:cstheme="minorHAnsi"/>
        </w:rPr>
      </w:pPr>
    </w:p>
    <w:p w14:paraId="1762A834" w14:textId="77777777" w:rsidR="00E94229" w:rsidRDefault="0038683D" w:rsidP="00E94229">
      <w:pPr>
        <w:keepNext/>
        <w:jc w:val="center"/>
      </w:pPr>
      <w:r>
        <w:rPr>
          <w:noProof/>
        </w:rPr>
        <w:lastRenderedPageBreak/>
        <w:drawing>
          <wp:inline distT="0" distB="0" distL="0" distR="0" wp14:anchorId="0949DB59" wp14:editId="71709E20">
            <wp:extent cx="5943600" cy="4894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94580"/>
                    </a:xfrm>
                    <a:prstGeom prst="rect">
                      <a:avLst/>
                    </a:prstGeom>
                  </pic:spPr>
                </pic:pic>
              </a:graphicData>
            </a:graphic>
          </wp:inline>
        </w:drawing>
      </w:r>
    </w:p>
    <w:p w14:paraId="259B6834" w14:textId="1CB897C2" w:rsidR="00BF3B4F" w:rsidRPr="001C6A26" w:rsidRDefault="001C6A26" w:rsidP="001C6A26">
      <w:pPr>
        <w:pStyle w:val="Caption"/>
        <w:jc w:val="center"/>
      </w:pPr>
      <w:r w:rsidRPr="001C6A26">
        <w:t xml:space="preserve">Figure </w:t>
      </w:r>
      <w:r w:rsidR="00171B77">
        <w:fldChar w:fldCharType="begin"/>
      </w:r>
      <w:r w:rsidR="00171B77">
        <w:instrText xml:space="preserve"> SEQ Figure \* ARABIC </w:instrText>
      </w:r>
      <w:r w:rsidR="00171B77">
        <w:fldChar w:fldCharType="separate"/>
      </w:r>
      <w:r w:rsidR="0044282C">
        <w:rPr>
          <w:noProof/>
        </w:rPr>
        <w:t>1</w:t>
      </w:r>
      <w:r w:rsidR="00171B77">
        <w:rPr>
          <w:noProof/>
        </w:rPr>
        <w:fldChar w:fldCharType="end"/>
      </w:r>
      <w:r w:rsidR="00E94229">
        <w:t>:</w:t>
      </w:r>
      <w:r w:rsidRPr="001C6A26">
        <w:t xml:space="preserve"> Cumulative COVID-19 Cases Detected by molecular RT-PCR tests in Arizona.</w:t>
      </w:r>
    </w:p>
    <w:p w14:paraId="55F9690F" w14:textId="77777777" w:rsidR="00BF3B4F" w:rsidRPr="001C6A26" w:rsidRDefault="00BF3B4F">
      <w:pPr>
        <w:rPr>
          <w:rFonts w:asciiTheme="minorHAnsi" w:eastAsia="Calibri" w:hAnsiTheme="minorHAnsi"/>
        </w:rPr>
      </w:pPr>
    </w:p>
    <w:p w14:paraId="5C4039F1" w14:textId="77777777" w:rsidR="00BF3B4F" w:rsidRPr="001C6A26" w:rsidRDefault="00BF3B4F">
      <w:pPr>
        <w:rPr>
          <w:rFonts w:asciiTheme="minorHAnsi" w:eastAsia="Calibri" w:hAnsiTheme="minorHAnsi"/>
        </w:rPr>
      </w:pPr>
    </w:p>
    <w:p w14:paraId="26FBB60F" w14:textId="2BE58CB7" w:rsidR="00BF3B4F" w:rsidRPr="001C6A26" w:rsidRDefault="001C6A26">
      <w:pPr>
        <w:rPr>
          <w:rFonts w:asciiTheme="minorHAnsi" w:eastAsia="Calibri" w:hAnsiTheme="minorHAnsi"/>
        </w:rPr>
      </w:pPr>
      <w:r w:rsidRPr="001C6A26">
        <w:rPr>
          <w:rFonts w:asciiTheme="minorHAnsi" w:eastAsia="Calibri" w:hAnsiTheme="minorHAnsi"/>
        </w:rPr>
        <w:t>The COVID-19 “epi curve” is based on the cumulative number of cases of disease that are positively detected within the population. The growth rate of new confirmed cases is marked by three distinct periods of transmission.  The initial growth period prior to March 17</w:t>
      </w:r>
      <w:r w:rsidRPr="001C6A26">
        <w:rPr>
          <w:rFonts w:asciiTheme="minorHAnsi" w:eastAsia="Calibri" w:hAnsiTheme="minorHAnsi"/>
          <w:vertAlign w:val="superscript"/>
        </w:rPr>
        <w:t>th</w:t>
      </w:r>
      <w:r w:rsidRPr="001C6A26">
        <w:rPr>
          <w:rFonts w:asciiTheme="minorHAnsi" w:eastAsia="Calibri" w:hAnsiTheme="minorHAnsi"/>
        </w:rPr>
        <w:t xml:space="preserve"> appears to follow stochastic transmission effects with low level of disease incidence in the population, but with community spread.  This means that the resulting people who </w:t>
      </w:r>
      <w:r w:rsidR="3A6EB0CF" w:rsidRPr="00853A92">
        <w:rPr>
          <w:rFonts w:asciiTheme="minorHAnsi" w:hAnsiTheme="minorHAnsi" w:cstheme="minorHAnsi"/>
        </w:rPr>
        <w:t>are</w:t>
      </w:r>
      <w:r w:rsidRPr="001C6A26">
        <w:rPr>
          <w:rFonts w:asciiTheme="minorHAnsi" w:eastAsia="Calibri" w:hAnsiTheme="minorHAnsi"/>
        </w:rPr>
        <w:t xml:space="preserve"> infected </w:t>
      </w:r>
      <w:r w:rsidR="3A6EB0CF" w:rsidRPr="00853A92">
        <w:rPr>
          <w:rFonts w:asciiTheme="minorHAnsi" w:hAnsiTheme="minorHAnsi" w:cstheme="minorHAnsi"/>
        </w:rPr>
        <w:t>are</w:t>
      </w:r>
      <w:r w:rsidRPr="001C6A26">
        <w:rPr>
          <w:rFonts w:asciiTheme="minorHAnsi" w:eastAsia="Calibri" w:hAnsiTheme="minorHAnsi"/>
        </w:rPr>
        <w:t xml:space="preserve"> due to random or chance occurrence.  </w:t>
      </w:r>
    </w:p>
    <w:p w14:paraId="21841952" w14:textId="77777777" w:rsidR="00BF3B4F" w:rsidRPr="001C6A26" w:rsidRDefault="00BF3B4F">
      <w:pPr>
        <w:rPr>
          <w:rFonts w:asciiTheme="minorHAnsi" w:eastAsia="Calibri" w:hAnsiTheme="minorHAnsi"/>
        </w:rPr>
      </w:pPr>
    </w:p>
    <w:p w14:paraId="63CC1748"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epi-curve likely has considerable biases in estimating disease prevalence since tests were scarce and reserved for individuals at high-risk under CDC criteria for “Persons Under Investigation.” Additional bias was introduced in preliminary data prior to and including March due to the reporting of positive cases only.  The result of these biases is that the true disease prevalence and trajectory have been unknown during much of this time, and we are reliant on new data to recapture the trends.  Data from clinical studies are used to piece together epidemiological data that is unknown in Arizona.  </w:t>
      </w:r>
    </w:p>
    <w:p w14:paraId="27A623B6" w14:textId="20542445" w:rsidR="00BF3B4F" w:rsidRPr="001C6A26" w:rsidRDefault="001C6A26">
      <w:pPr>
        <w:rPr>
          <w:rFonts w:asciiTheme="minorHAnsi" w:eastAsia="Calibri" w:hAnsiTheme="minorHAnsi"/>
        </w:rPr>
      </w:pPr>
      <w:r w:rsidRPr="001C6A26">
        <w:rPr>
          <w:rFonts w:asciiTheme="minorHAnsi" w:eastAsia="Calibri" w:hAnsiTheme="minorHAnsi"/>
        </w:rPr>
        <w:lastRenderedPageBreak/>
        <w:t>The period from March 18</w:t>
      </w:r>
      <w:r w:rsidRPr="001C6A26">
        <w:rPr>
          <w:rFonts w:asciiTheme="minorHAnsi" w:eastAsia="Calibri" w:hAnsiTheme="minorHAnsi"/>
          <w:vertAlign w:val="superscript"/>
        </w:rPr>
        <w:t>th</w:t>
      </w:r>
      <w:r w:rsidRPr="001C6A26">
        <w:rPr>
          <w:rFonts w:asciiTheme="minorHAnsi" w:eastAsia="Calibri" w:hAnsiTheme="minorHAnsi"/>
        </w:rPr>
        <w:t xml:space="preserve"> through approximately March 24 shows exponential growth.  The exponential growth coincides with the increased testing that began the week of March 23</w:t>
      </w:r>
      <w:r w:rsidRPr="001C6A26">
        <w:rPr>
          <w:rFonts w:asciiTheme="minorHAnsi" w:eastAsia="Calibri" w:hAnsiTheme="minorHAnsi"/>
          <w:vertAlign w:val="superscript"/>
        </w:rPr>
        <w:t>rd</w:t>
      </w:r>
      <w:r w:rsidRPr="001C6A26">
        <w:rPr>
          <w:rFonts w:asciiTheme="minorHAnsi" w:eastAsia="Calibri" w:hAnsiTheme="minorHAnsi"/>
        </w:rPr>
        <w:t xml:space="preserve"> and the increase in reporting results on March 27.  The increase in newly identified cases reflects cases that were newly infected in the 3-10 days prior to </w:t>
      </w:r>
      <w:r w:rsidR="42FF08A2" w:rsidRPr="00853A92">
        <w:rPr>
          <w:rFonts w:asciiTheme="minorHAnsi" w:hAnsiTheme="minorHAnsi" w:cstheme="minorHAnsi"/>
        </w:rPr>
        <w:t>received</w:t>
      </w:r>
      <w:r w:rsidRPr="001C6A26">
        <w:rPr>
          <w:rFonts w:asciiTheme="minorHAnsi" w:eastAsia="Calibri" w:hAnsiTheme="minorHAnsi"/>
        </w:rPr>
        <w:t xml:space="preserve"> confirmation of a positive test and subsequent entry into the state’s tracking database.  The period from March 18</w:t>
      </w:r>
      <w:r w:rsidRPr="001C6A26">
        <w:rPr>
          <w:rFonts w:asciiTheme="minorHAnsi" w:eastAsia="Calibri" w:hAnsiTheme="minorHAnsi"/>
          <w:vertAlign w:val="superscript"/>
        </w:rPr>
        <w:t>th</w:t>
      </w:r>
      <w:r w:rsidRPr="001C6A26">
        <w:rPr>
          <w:rFonts w:asciiTheme="minorHAnsi" w:eastAsia="Calibri" w:hAnsiTheme="minorHAnsi"/>
        </w:rPr>
        <w:t xml:space="preserve"> to March 24 also predates Governor </w:t>
      </w:r>
      <w:proofErr w:type="spellStart"/>
      <w:r w:rsidRPr="001C6A26">
        <w:rPr>
          <w:rFonts w:asciiTheme="minorHAnsi" w:eastAsia="Calibri" w:hAnsiTheme="minorHAnsi"/>
        </w:rPr>
        <w:t>Ducey’s</w:t>
      </w:r>
      <w:proofErr w:type="spellEnd"/>
      <w:r w:rsidRPr="001C6A26">
        <w:rPr>
          <w:rFonts w:asciiTheme="minorHAnsi" w:eastAsia="Calibri" w:hAnsiTheme="minorHAnsi"/>
        </w:rPr>
        <w:t xml:space="preserve"> initial stay-at-home order issued on March 30</w:t>
      </w:r>
      <w:r w:rsidRPr="001C6A26">
        <w:rPr>
          <w:rFonts w:asciiTheme="minorHAnsi" w:eastAsia="Calibri" w:hAnsiTheme="minorHAnsi"/>
          <w:vertAlign w:val="superscript"/>
        </w:rPr>
        <w:t>th</w:t>
      </w:r>
      <w:r w:rsidRPr="001C6A26">
        <w:rPr>
          <w:rFonts w:asciiTheme="minorHAnsi" w:eastAsia="Calibri" w:hAnsiTheme="minorHAnsi"/>
        </w:rPr>
        <w:t xml:space="preserve">, but follows decisions by Mayors in Flagstaff, Phoenix, and Tucson to close bars and dine-in restaurant services in their respective cities, followed closely by an Executive Order from Governor </w:t>
      </w:r>
      <w:proofErr w:type="spellStart"/>
      <w:r w:rsidRPr="001C6A26">
        <w:rPr>
          <w:rFonts w:asciiTheme="minorHAnsi" w:eastAsia="Calibri" w:hAnsiTheme="minorHAnsi"/>
        </w:rPr>
        <w:t>Ducey</w:t>
      </w:r>
      <w:proofErr w:type="spellEnd"/>
      <w:r w:rsidRPr="001C6A26">
        <w:rPr>
          <w:rFonts w:asciiTheme="minorHAnsi" w:eastAsia="Calibri" w:hAnsiTheme="minorHAnsi"/>
        </w:rPr>
        <w:t xml:space="preserve"> on March 19</w:t>
      </w:r>
      <w:r w:rsidRPr="001C6A26">
        <w:rPr>
          <w:rFonts w:asciiTheme="minorHAnsi" w:eastAsia="Calibri" w:hAnsiTheme="minorHAnsi"/>
          <w:vertAlign w:val="superscript"/>
        </w:rPr>
        <w:t>th</w:t>
      </w:r>
      <w:r w:rsidRPr="001C6A26">
        <w:rPr>
          <w:rFonts w:asciiTheme="minorHAnsi" w:eastAsia="Calibri" w:hAnsiTheme="minorHAnsi"/>
        </w:rPr>
        <w:t xml:space="preserve"> to close bars, movie theaters, gyms, and dine-in restaurants in counties with confirmed COVID-19 cases.   </w:t>
      </w:r>
    </w:p>
    <w:p w14:paraId="2BB4CEF1" w14:textId="77777777" w:rsidR="00BF3B4F" w:rsidRPr="001C6A26" w:rsidRDefault="00BF3B4F">
      <w:pPr>
        <w:rPr>
          <w:rFonts w:asciiTheme="minorHAnsi" w:eastAsia="Calibri" w:hAnsiTheme="minorHAnsi"/>
        </w:rPr>
      </w:pPr>
    </w:p>
    <w:p w14:paraId="5273B483" w14:textId="29F81C7A" w:rsidR="00BF3B4F" w:rsidRPr="001C6A26" w:rsidRDefault="001C6A26">
      <w:pPr>
        <w:rPr>
          <w:rFonts w:asciiTheme="minorHAnsi" w:eastAsia="Calibri" w:hAnsiTheme="minorHAnsi"/>
        </w:rPr>
      </w:pPr>
      <w:r w:rsidRPr="001C6A26">
        <w:rPr>
          <w:rFonts w:asciiTheme="minorHAnsi" w:eastAsia="Calibri" w:hAnsiTheme="minorHAnsi"/>
        </w:rPr>
        <w:t xml:space="preserve">Newly confirmed case data from positive PCR tests during the period from April 3 to April 20 can be interpreted in several ways, and only additional data will reveal the correct interpretation.  New cases have been hovering at a consistent level between 100 and 300 tested and confirmed cases per day.  See Figure 2.  Although the data appears to have plateaued over the last three weeks, there is significant variability in the data that makes it impossible to confirm or refute that new cases have peaked.  Contemplation of a future peak is dependent </w:t>
      </w:r>
      <w:r w:rsidR="00777541">
        <w:rPr>
          <w:rFonts w:asciiTheme="minorHAnsi" w:hAnsiTheme="minorHAnsi" w:cstheme="minorHAnsi"/>
        </w:rPr>
        <w:t xml:space="preserve">heavily </w:t>
      </w:r>
      <w:r w:rsidRPr="001C6A26">
        <w:rPr>
          <w:rFonts w:asciiTheme="minorHAnsi" w:eastAsia="Calibri" w:hAnsiTheme="minorHAnsi"/>
        </w:rPr>
        <w:t xml:space="preserve">on whether contact patterns change significantly and scientific uncertainties about the level of undetected disease currently in the population.  </w:t>
      </w:r>
    </w:p>
    <w:p w14:paraId="3BE0F1F0" w14:textId="77777777" w:rsidR="00BF3B4F" w:rsidRPr="001C6A26" w:rsidRDefault="00BF3B4F">
      <w:pPr>
        <w:rPr>
          <w:rFonts w:asciiTheme="minorHAnsi" w:eastAsia="Calibri" w:hAnsiTheme="minorHAnsi"/>
        </w:rPr>
      </w:pPr>
    </w:p>
    <w:p w14:paraId="3FAE50B1" w14:textId="77777777" w:rsidR="00BF3B4F" w:rsidRPr="001C6A26" w:rsidRDefault="00BF3B4F">
      <w:pPr>
        <w:rPr>
          <w:rFonts w:asciiTheme="minorHAnsi" w:eastAsia="Calibri" w:hAnsiTheme="minorHAnsi"/>
        </w:rPr>
      </w:pPr>
    </w:p>
    <w:p w14:paraId="3CE746CC" w14:textId="77777777" w:rsidR="00777541" w:rsidRDefault="00027D8F" w:rsidP="00777541">
      <w:pPr>
        <w:keepNext/>
      </w:pPr>
      <w:r>
        <w:rPr>
          <w:noProof/>
        </w:rPr>
        <w:drawing>
          <wp:inline distT="0" distB="0" distL="0" distR="0" wp14:anchorId="0F93CFD6" wp14:editId="34990269">
            <wp:extent cx="5943600" cy="3468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68370"/>
                    </a:xfrm>
                    <a:prstGeom prst="rect">
                      <a:avLst/>
                    </a:prstGeom>
                  </pic:spPr>
                </pic:pic>
              </a:graphicData>
            </a:graphic>
          </wp:inline>
        </w:drawing>
      </w:r>
    </w:p>
    <w:p w14:paraId="2E6AEAD5" w14:textId="5F660665" w:rsidR="00BF3B4F" w:rsidRPr="001C6A26" w:rsidRDefault="001C6A26" w:rsidP="001C6A26">
      <w:pPr>
        <w:pStyle w:val="Caption"/>
      </w:pPr>
      <w:r w:rsidRPr="001C6A26">
        <w:t xml:space="preserve">Figure </w:t>
      </w:r>
      <w:r w:rsidR="00171B77">
        <w:fldChar w:fldCharType="begin"/>
      </w:r>
      <w:r w:rsidR="00171B77">
        <w:instrText xml:space="preserve"> SEQ Figure \* ARABIC </w:instrText>
      </w:r>
      <w:r w:rsidR="00171B77">
        <w:fldChar w:fldCharType="separate"/>
      </w:r>
      <w:r w:rsidR="0044282C">
        <w:rPr>
          <w:noProof/>
        </w:rPr>
        <w:t>2</w:t>
      </w:r>
      <w:r w:rsidR="00171B77">
        <w:rPr>
          <w:noProof/>
        </w:rPr>
        <w:fldChar w:fldCharType="end"/>
      </w:r>
      <w:r w:rsidR="00777541">
        <w:t>:</w:t>
      </w:r>
      <w:r w:rsidRPr="001C6A26">
        <w:t xml:space="preserve"> Daily Positive COVID-19 PCR tests and moving averages</w:t>
      </w:r>
    </w:p>
    <w:p w14:paraId="56BFC5A5" w14:textId="77777777" w:rsidR="00BF3B4F" w:rsidRPr="001C6A26" w:rsidRDefault="00BF3B4F">
      <w:pPr>
        <w:rPr>
          <w:rFonts w:asciiTheme="minorHAnsi" w:eastAsia="Calibri" w:hAnsiTheme="minorHAnsi"/>
        </w:rPr>
      </w:pPr>
    </w:p>
    <w:p w14:paraId="160E23BC" w14:textId="77777777" w:rsidR="00BF3B4F" w:rsidRPr="001C6A26" w:rsidRDefault="00BF3B4F">
      <w:pPr>
        <w:rPr>
          <w:rFonts w:asciiTheme="minorHAnsi" w:eastAsia="Calibri" w:hAnsiTheme="minorHAnsi"/>
        </w:rPr>
      </w:pPr>
    </w:p>
    <w:p w14:paraId="377DA024" w14:textId="77777777" w:rsidR="00BF3B4F" w:rsidRPr="001C6A26" w:rsidRDefault="001C6A26">
      <w:pPr>
        <w:rPr>
          <w:rFonts w:asciiTheme="minorHAnsi" w:eastAsia="Calibri" w:hAnsiTheme="minorHAnsi"/>
        </w:rPr>
      </w:pPr>
      <w:r w:rsidRPr="001C6A26">
        <w:rPr>
          <w:rFonts w:asciiTheme="minorHAnsi" w:eastAsia="Calibri" w:hAnsiTheme="minorHAnsi"/>
        </w:rPr>
        <w:lastRenderedPageBreak/>
        <w:t xml:space="preserve">Testing capacity in Arizona is currently between one thousand and three thousand tests per day with peaks in the five thousand to seven thousand range that may be attributable to surges in test processing or to delays in reporting test results.  See Figure 3.  Positive test rate has been increasing steadily from a low of less than 5% in early April to above 12% presently.  </w:t>
      </w:r>
    </w:p>
    <w:p w14:paraId="69754B6F"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 </w:t>
      </w:r>
    </w:p>
    <w:p w14:paraId="706109F8" w14:textId="77777777" w:rsidR="000B25E1" w:rsidRDefault="00E94229" w:rsidP="000B25E1">
      <w:pPr>
        <w:keepNext/>
      </w:pPr>
      <w:r>
        <w:rPr>
          <w:noProof/>
        </w:rPr>
        <w:drawing>
          <wp:inline distT="0" distB="0" distL="0" distR="0" wp14:anchorId="55C87058" wp14:editId="058AC68D">
            <wp:extent cx="5943600" cy="37941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4125"/>
                    </a:xfrm>
                    <a:prstGeom prst="rect">
                      <a:avLst/>
                    </a:prstGeom>
                  </pic:spPr>
                </pic:pic>
              </a:graphicData>
            </a:graphic>
          </wp:inline>
        </w:drawing>
      </w:r>
    </w:p>
    <w:p w14:paraId="32E106D0" w14:textId="56E87955" w:rsidR="00BF3B4F" w:rsidRPr="001C6A26" w:rsidRDefault="001C6A26" w:rsidP="001C6A26">
      <w:pPr>
        <w:pStyle w:val="Caption"/>
      </w:pPr>
      <w:r w:rsidRPr="001C6A26">
        <w:t xml:space="preserve">Figure </w:t>
      </w:r>
      <w:r w:rsidR="00171B77">
        <w:fldChar w:fldCharType="begin"/>
      </w:r>
      <w:r w:rsidR="00171B77">
        <w:instrText xml:space="preserve"> SEQ Figure \* ARABIC </w:instrText>
      </w:r>
      <w:r w:rsidR="00171B77">
        <w:fldChar w:fldCharType="separate"/>
      </w:r>
      <w:r w:rsidR="0044282C">
        <w:rPr>
          <w:noProof/>
        </w:rPr>
        <w:t>3</w:t>
      </w:r>
      <w:r w:rsidR="00171B77">
        <w:rPr>
          <w:noProof/>
        </w:rPr>
        <w:fldChar w:fldCharType="end"/>
      </w:r>
      <w:r w:rsidR="000B25E1">
        <w:t>:</w:t>
      </w:r>
      <w:r w:rsidRPr="001C6A26">
        <w:t xml:space="preserve"> Test throughput and positive sample rate</w:t>
      </w:r>
    </w:p>
    <w:p w14:paraId="7DCF3978" w14:textId="77777777" w:rsidR="00BF3B4F" w:rsidRPr="001C6A26" w:rsidRDefault="00BF3B4F">
      <w:pPr>
        <w:rPr>
          <w:rFonts w:asciiTheme="minorHAnsi" w:eastAsia="Calibri" w:hAnsiTheme="minorHAnsi"/>
        </w:rPr>
      </w:pPr>
    </w:p>
    <w:p w14:paraId="11DC9D9E" w14:textId="656899F2" w:rsidR="00BF3B4F" w:rsidRPr="001C6A26" w:rsidRDefault="001C6A26">
      <w:pPr>
        <w:rPr>
          <w:rFonts w:asciiTheme="minorHAnsi" w:eastAsia="Calibri" w:hAnsiTheme="minorHAnsi"/>
        </w:rPr>
      </w:pPr>
      <w:r w:rsidRPr="001C6A26">
        <w:rPr>
          <w:rFonts w:asciiTheme="minorHAnsi" w:eastAsia="Calibri" w:hAnsiTheme="minorHAnsi"/>
        </w:rPr>
        <w:t>Figure 4 shows the exponential growth rate of the epi curve.  If this graph is well-estimated by a straight line, we can observe exponential growth in new cases with growth rate equal to the slope of this curve.  This graph changes its slope around March 25</w:t>
      </w:r>
      <w:r w:rsidRPr="001C6A26">
        <w:rPr>
          <w:rFonts w:asciiTheme="minorHAnsi" w:eastAsia="Calibri" w:hAnsiTheme="minorHAnsi"/>
          <w:vertAlign w:val="superscript"/>
        </w:rPr>
        <w:t xml:space="preserve">th </w:t>
      </w:r>
      <w:r w:rsidRPr="001C6A26">
        <w:rPr>
          <w:rFonts w:asciiTheme="minorHAnsi" w:eastAsia="Calibri" w:hAnsiTheme="minorHAnsi"/>
        </w:rPr>
        <w:t xml:space="preserve">which does coincide with reduced transmission due to social distancing following a series of local and statewide orders for business closures.  The data suggests that transmission has slowed </w:t>
      </w:r>
      <w:r w:rsidR="42FF08A2" w:rsidRPr="00853A92">
        <w:rPr>
          <w:rFonts w:asciiTheme="minorHAnsi" w:hAnsiTheme="minorHAnsi" w:cstheme="minorHAnsi"/>
        </w:rPr>
        <w:t>down</w:t>
      </w:r>
      <w:r w:rsidR="003D5807">
        <w:rPr>
          <w:rFonts w:asciiTheme="minorHAnsi" w:hAnsiTheme="minorHAnsi" w:cstheme="minorHAnsi"/>
        </w:rPr>
        <w:t xml:space="preserve"> </w:t>
      </w:r>
      <w:r w:rsidRPr="001C6A26">
        <w:rPr>
          <w:rFonts w:asciiTheme="minorHAnsi" w:eastAsia="Calibri" w:hAnsiTheme="minorHAnsi"/>
        </w:rPr>
        <w:t xml:space="preserve">significantly.  </w:t>
      </w:r>
    </w:p>
    <w:p w14:paraId="579774F6" w14:textId="77777777" w:rsidR="00BF3B4F" w:rsidRPr="001C6A26" w:rsidRDefault="00BF3B4F">
      <w:pPr>
        <w:rPr>
          <w:rFonts w:asciiTheme="minorHAnsi" w:eastAsia="Calibri" w:hAnsiTheme="minorHAnsi"/>
        </w:rPr>
      </w:pPr>
    </w:p>
    <w:p w14:paraId="5D56D71D" w14:textId="77777777" w:rsidR="000B25E1" w:rsidRDefault="003D5807" w:rsidP="000B25E1">
      <w:pPr>
        <w:keepNext/>
      </w:pPr>
      <w:r>
        <w:rPr>
          <w:noProof/>
        </w:rPr>
        <w:lastRenderedPageBreak/>
        <w:drawing>
          <wp:inline distT="0" distB="0" distL="0" distR="0" wp14:anchorId="67874E6C" wp14:editId="4CD882BD">
            <wp:extent cx="5943600" cy="34772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77260"/>
                    </a:xfrm>
                    <a:prstGeom prst="rect">
                      <a:avLst/>
                    </a:prstGeom>
                  </pic:spPr>
                </pic:pic>
              </a:graphicData>
            </a:graphic>
          </wp:inline>
        </w:drawing>
      </w:r>
    </w:p>
    <w:p w14:paraId="03B64592" w14:textId="7F787C11" w:rsidR="00BF3B4F" w:rsidRPr="001C6A26" w:rsidRDefault="001C6A26" w:rsidP="001C6A26">
      <w:pPr>
        <w:pStyle w:val="Caption"/>
      </w:pPr>
      <w:r w:rsidRPr="001C6A26">
        <w:t xml:space="preserve">Figure </w:t>
      </w:r>
      <w:r w:rsidR="00171B77">
        <w:fldChar w:fldCharType="begin"/>
      </w:r>
      <w:r w:rsidR="00171B77">
        <w:instrText xml:space="preserve"> SEQ Figure \* ARABIC </w:instrText>
      </w:r>
      <w:r w:rsidR="00171B77">
        <w:fldChar w:fldCharType="separate"/>
      </w:r>
      <w:r w:rsidR="0044282C">
        <w:rPr>
          <w:noProof/>
        </w:rPr>
        <w:t>4</w:t>
      </w:r>
      <w:r w:rsidR="00171B77">
        <w:rPr>
          <w:noProof/>
        </w:rPr>
        <w:fldChar w:fldCharType="end"/>
      </w:r>
      <w:r w:rsidR="000B25E1">
        <w:t>:</w:t>
      </w:r>
      <w:r w:rsidRPr="001C6A26">
        <w:t xml:space="preserve"> natural logarithm of cumulative case count is used to approximate transmission rate over time.</w:t>
      </w:r>
    </w:p>
    <w:p w14:paraId="0297AAFD" w14:textId="4C3C8845" w:rsidR="00BF3B4F" w:rsidRPr="001C6A26" w:rsidRDefault="001C6A26">
      <w:pPr>
        <w:rPr>
          <w:rFonts w:asciiTheme="minorHAnsi" w:eastAsia="Calibri" w:hAnsiTheme="minorHAnsi"/>
        </w:rPr>
      </w:pPr>
      <w:r w:rsidRPr="001C6A26">
        <w:rPr>
          <w:rFonts w:asciiTheme="minorHAnsi" w:eastAsia="Calibri" w:hAnsiTheme="minorHAnsi"/>
        </w:rPr>
        <w:t>There is a clear, continued pattern of bending the curve downward, indicating further reduced transmission.  Once we have achieved an effective R value of less than one, the pandemic will begin to die out locally.</w:t>
      </w:r>
    </w:p>
    <w:p w14:paraId="0F876130" w14:textId="77777777" w:rsidR="00BF3B4F" w:rsidRPr="001C6A26" w:rsidRDefault="00BF3B4F">
      <w:pPr>
        <w:rPr>
          <w:rFonts w:asciiTheme="minorHAnsi" w:eastAsia="Calibri" w:hAnsiTheme="minorHAnsi"/>
        </w:rPr>
      </w:pPr>
      <w:bookmarkStart w:id="0" w:name="bookmark=id.gjdgxs" w:colFirst="0" w:colLast="0"/>
      <w:bookmarkStart w:id="1" w:name="OLE_LINK1"/>
      <w:bookmarkEnd w:id="0"/>
    </w:p>
    <w:p w14:paraId="57A82789" w14:textId="77777777" w:rsidR="00BF3B4F" w:rsidRPr="001C6A26" w:rsidRDefault="001C6A26">
      <w:pPr>
        <w:rPr>
          <w:rFonts w:asciiTheme="minorHAnsi" w:eastAsia="Calibri" w:hAnsiTheme="minorHAnsi"/>
        </w:rPr>
      </w:pPr>
      <w:r w:rsidRPr="001C6A26">
        <w:rPr>
          <w:rFonts w:asciiTheme="minorHAnsi" w:eastAsia="Calibri" w:hAnsiTheme="minorHAnsi"/>
        </w:rPr>
        <w:t>We estimated the current growth rate (April 7 – April 20) of the pandemic with a line Figure 4 and Figure 5.  The implied growth rate of the current growth is 0.05 with a doubling time of 13.9 days.  The prior period (March 25 thru April 7) had a slope (pandemic growth rate) of 0.13 (</w:t>
      </w:r>
      <w:r w:rsidRPr="001C6A26">
        <w:rPr>
          <w:rFonts w:asciiTheme="minorHAnsi" w:eastAsia="Calibri" w:hAnsiTheme="minorHAnsi"/>
          <w:i/>
        </w:rPr>
        <w:t>R</w:t>
      </w:r>
      <w:r w:rsidRPr="001C6A26">
        <w:rPr>
          <w:rFonts w:asciiTheme="minorHAnsi" w:eastAsia="Calibri" w:hAnsiTheme="minorHAnsi"/>
          <w:vertAlign w:val="superscript"/>
        </w:rPr>
        <w:t>2</w:t>
      </w:r>
      <w:r w:rsidRPr="001C6A26">
        <w:rPr>
          <w:rFonts w:asciiTheme="minorHAnsi" w:eastAsia="Calibri" w:hAnsiTheme="minorHAnsi"/>
        </w:rPr>
        <w:t xml:space="preserve"> = .974) and a doubling time of 5.3 days.</w:t>
      </w:r>
    </w:p>
    <w:p w14:paraId="69018CFB" w14:textId="77777777" w:rsidR="00BF3B4F" w:rsidRPr="001C6A26" w:rsidRDefault="00BF3B4F">
      <w:pPr>
        <w:rPr>
          <w:rFonts w:asciiTheme="minorHAnsi" w:eastAsia="Calibri" w:hAnsiTheme="minorHAnsi"/>
        </w:rPr>
      </w:pPr>
    </w:p>
    <w:p w14:paraId="43021DBF" w14:textId="77777777" w:rsidR="000B25E1" w:rsidRDefault="004F4302" w:rsidP="000B25E1">
      <w:pPr>
        <w:keepNext/>
        <w:jc w:val="center"/>
      </w:pPr>
      <w:r>
        <w:rPr>
          <w:noProof/>
        </w:rPr>
        <w:lastRenderedPageBreak/>
        <w:drawing>
          <wp:inline distT="0" distB="0" distL="0" distR="0" wp14:anchorId="433C0F7D" wp14:editId="722B05D9">
            <wp:extent cx="5943600" cy="6288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288405"/>
                    </a:xfrm>
                    <a:prstGeom prst="rect">
                      <a:avLst/>
                    </a:prstGeom>
                  </pic:spPr>
                </pic:pic>
              </a:graphicData>
            </a:graphic>
          </wp:inline>
        </w:drawing>
      </w:r>
    </w:p>
    <w:p w14:paraId="089F30D1" w14:textId="6623DF8A" w:rsidR="00BF3B4F" w:rsidRPr="001C6A26" w:rsidRDefault="001C6A26" w:rsidP="001C6A26">
      <w:pPr>
        <w:pStyle w:val="Caption"/>
        <w:jc w:val="center"/>
      </w:pPr>
      <w:r w:rsidRPr="001C6A26">
        <w:t xml:space="preserve">Figure </w:t>
      </w:r>
      <w:r w:rsidR="00171B77">
        <w:fldChar w:fldCharType="begin"/>
      </w:r>
      <w:r w:rsidR="00171B77">
        <w:instrText xml:space="preserve"> SEQ Figure \* ARABIC </w:instrText>
      </w:r>
      <w:r w:rsidR="00171B77">
        <w:fldChar w:fldCharType="separate"/>
      </w:r>
      <w:r w:rsidR="0044282C">
        <w:rPr>
          <w:noProof/>
        </w:rPr>
        <w:t>5</w:t>
      </w:r>
      <w:r w:rsidR="00171B77">
        <w:rPr>
          <w:noProof/>
        </w:rPr>
        <w:fldChar w:fldCharType="end"/>
      </w:r>
      <w:r w:rsidR="000B25E1">
        <w:t>:</w:t>
      </w:r>
      <w:r w:rsidRPr="001C6A26">
        <w:t xml:space="preserve"> Estimation of transmission rate for April 7-20.</w:t>
      </w:r>
    </w:p>
    <w:p w14:paraId="5E206BCF" w14:textId="77777777" w:rsidR="00BF3B4F" w:rsidRPr="001C6A26" w:rsidRDefault="00BF3B4F">
      <w:pPr>
        <w:rPr>
          <w:rFonts w:asciiTheme="minorHAnsi" w:eastAsia="Calibri" w:hAnsiTheme="minorHAnsi"/>
        </w:rPr>
      </w:pPr>
    </w:p>
    <w:p w14:paraId="1CD4D2A5" w14:textId="77777777" w:rsidR="00BF3B4F" w:rsidRPr="001C6A26" w:rsidRDefault="001C6A26">
      <w:pPr>
        <w:rPr>
          <w:rFonts w:asciiTheme="minorHAnsi" w:eastAsia="Calibri" w:hAnsiTheme="minorHAnsi"/>
        </w:rPr>
      </w:pPr>
      <w:r w:rsidRPr="001C6A26">
        <w:rPr>
          <w:rFonts w:asciiTheme="minorHAnsi" w:eastAsia="Calibri" w:hAnsiTheme="minorHAnsi"/>
        </w:rPr>
        <w:t>Between March 17 and March 24, growth rate of 0.42 with (</w:t>
      </w:r>
      <w:r w:rsidRPr="001C6A26">
        <w:rPr>
          <w:rFonts w:asciiTheme="minorHAnsi" w:eastAsia="Calibri" w:hAnsiTheme="minorHAnsi"/>
          <w:i/>
        </w:rPr>
        <w:t>R</w:t>
      </w:r>
      <w:r w:rsidRPr="001C6A26">
        <w:rPr>
          <w:rFonts w:asciiTheme="minorHAnsi" w:eastAsia="Calibri" w:hAnsiTheme="minorHAnsi"/>
          <w:vertAlign w:val="superscript"/>
        </w:rPr>
        <w:t>2</w:t>
      </w:r>
      <w:r w:rsidRPr="001C6A26">
        <w:rPr>
          <w:rFonts w:asciiTheme="minorHAnsi" w:eastAsia="Calibri" w:hAnsiTheme="minorHAnsi"/>
        </w:rPr>
        <w:t xml:space="preserve"> = .998).  Doubling time of 1.7 </w:t>
      </w:r>
      <w:bookmarkEnd w:id="1"/>
      <w:r w:rsidRPr="001C6A26">
        <w:rPr>
          <w:rFonts w:asciiTheme="minorHAnsi" w:eastAsia="Calibri" w:hAnsiTheme="minorHAnsi"/>
        </w:rPr>
        <w:t xml:space="preserve">days. This upward trend in doubling time indicates continued slowing of transmission.  </w:t>
      </w:r>
    </w:p>
    <w:p w14:paraId="2BA1D3BE" w14:textId="77777777" w:rsidR="00BF3B4F" w:rsidRPr="001C6A26" w:rsidRDefault="00BF3B4F">
      <w:pPr>
        <w:rPr>
          <w:rFonts w:asciiTheme="minorHAnsi" w:eastAsia="Calibri" w:hAnsiTheme="minorHAnsi"/>
        </w:rPr>
      </w:pPr>
    </w:p>
    <w:p w14:paraId="7A44E4A8" w14:textId="7D4478E5" w:rsidR="00BF3B4F" w:rsidRPr="001C6A26" w:rsidRDefault="001C6A26">
      <w:pPr>
        <w:rPr>
          <w:rFonts w:asciiTheme="minorHAnsi" w:eastAsia="Calibri" w:hAnsiTheme="minorHAnsi"/>
        </w:rPr>
      </w:pPr>
      <w:r w:rsidRPr="001C6A26">
        <w:rPr>
          <w:rFonts w:asciiTheme="minorHAnsi" w:eastAsia="Calibri" w:hAnsiTheme="minorHAnsi"/>
        </w:rPr>
        <w:t xml:space="preserve">In summary, the recent measures put in place to limit contact and increase social distancing are showing an effect of reducing the growth rate from 0.42 persons/day to 0.13 persons/day to 0.05 persons/day.  The data are confounded by significant measurement challenges resulting from limited test data and changes to test criteria.  The future trajectory of new cases may continue to grow at the current rate.  It might also increase or decrease.  Additional challenges </w:t>
      </w:r>
      <w:r w:rsidRPr="001C6A26">
        <w:rPr>
          <w:rFonts w:asciiTheme="minorHAnsi" w:eastAsia="Calibri" w:hAnsiTheme="minorHAnsi"/>
        </w:rPr>
        <w:lastRenderedPageBreak/>
        <w:t xml:space="preserve">in interpreting this data include the time-delay between contact and transmission of COVID-19 to a susceptible person and the time the test result of that person is positively confirmed (if at all).  Estimates of under-reporting of infected cases range from a case ascertainment rate below 10% (Perkins, et al), to an ascertainment rate of 14% in China (Shaman) and 0.09% in the US (Shaman, CDC modeling coordination group or paper on website).   With a current case count of 5,064 cases in Arizona as of April </w:t>
      </w:r>
      <w:r w:rsidR="00121C03">
        <w:rPr>
          <w:rFonts w:asciiTheme="minorHAnsi" w:hAnsiTheme="minorHAnsi" w:cstheme="minorHAnsi"/>
        </w:rPr>
        <w:t>20</w:t>
      </w:r>
      <w:r w:rsidRPr="001C6A26">
        <w:rPr>
          <w:rFonts w:asciiTheme="minorHAnsi" w:eastAsia="Calibri" w:hAnsiTheme="minorHAnsi"/>
        </w:rPr>
        <w:t xml:space="preserve">, 2020, applying these estimates to Arizona result in range from 35 thousand to 55 thousand infected individuals to date, including many who are asymptomatic or mildly symptomatic.  </w:t>
      </w:r>
    </w:p>
    <w:p w14:paraId="4004E98E" w14:textId="77777777" w:rsidR="00BF3B4F" w:rsidRPr="001C6A26" w:rsidRDefault="001C6A26">
      <w:pPr>
        <w:pStyle w:val="Heading1"/>
        <w:rPr>
          <w:rFonts w:asciiTheme="minorHAnsi" w:hAnsiTheme="minorHAnsi"/>
        </w:rPr>
      </w:pPr>
      <w:r w:rsidRPr="001C6A26">
        <w:rPr>
          <w:rFonts w:asciiTheme="minorHAnsi" w:hAnsiTheme="minorHAnsi"/>
        </w:rPr>
        <w:t>Modeling approach and problem assignment</w:t>
      </w:r>
    </w:p>
    <w:p w14:paraId="1780D56A" w14:textId="77777777" w:rsidR="00BF3B4F" w:rsidRPr="001C6A26" w:rsidRDefault="00BF3B4F">
      <w:pPr>
        <w:rPr>
          <w:rFonts w:asciiTheme="minorHAnsi" w:eastAsia="Calibri" w:hAnsiTheme="minorHAnsi"/>
        </w:rPr>
      </w:pPr>
    </w:p>
    <w:p w14:paraId="4487FB68"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Working Group decided to develop an AZ specific model, and to compare results to models on popular COVID websites.  The IHME model is currently predicted that the peak hospitalization period occurred in Arizona the first week of April.   </w:t>
      </w:r>
    </w:p>
    <w:p w14:paraId="2FC48B97" w14:textId="77777777" w:rsidR="00BF3B4F" w:rsidRPr="001C6A26" w:rsidRDefault="00BF3B4F" w:rsidP="001C6A26">
      <w:pPr>
        <w:pStyle w:val="NormalWeb"/>
        <w:spacing w:before="0" w:beforeAutospacing="0" w:after="0" w:afterAutospacing="0"/>
        <w:rPr>
          <w:rFonts w:asciiTheme="minorHAnsi" w:eastAsia="Calibri" w:hAnsiTheme="minorHAnsi"/>
          <w:color w:val="000000"/>
          <w:sz w:val="22"/>
        </w:rPr>
      </w:pPr>
    </w:p>
    <w:p w14:paraId="222BEC49" w14:textId="77777777" w:rsidR="00BF3B4F" w:rsidRPr="001C6A26" w:rsidRDefault="001C6A26" w:rsidP="001C6A26">
      <w:pPr>
        <w:pStyle w:val="NormalWeb"/>
        <w:spacing w:before="0" w:beforeAutospacing="0" w:after="0" w:afterAutospacing="0"/>
        <w:rPr>
          <w:rFonts w:asciiTheme="minorHAnsi" w:eastAsia="Calibri" w:hAnsiTheme="minorHAnsi"/>
          <w:color w:val="000000"/>
          <w:sz w:val="28"/>
        </w:rPr>
      </w:pPr>
      <w:r w:rsidRPr="001C6A26">
        <w:rPr>
          <w:rFonts w:asciiTheme="minorHAnsi" w:eastAsia="Calibri" w:hAnsiTheme="minorHAnsi"/>
          <w:color w:val="000000"/>
        </w:rPr>
        <w:t>There are several reasons to develop our own Arizona specific model: The first is that Arizona’s situation is unique. We have different epi data, different testing rates, and a unique climate (meteorological and political) that will differentially impact disease transmission.  We might borrow results from other studies, but they need to be assembled with care if they are going to have value. The second, is that we need to be able to use the models as new data becomes available, and this requires an Arizona-specific model to be connected to the Arizona-specific response process. </w:t>
      </w:r>
    </w:p>
    <w:p w14:paraId="0A146A7D" w14:textId="77777777" w:rsidR="00BF3B4F" w:rsidRPr="001C6A26" w:rsidRDefault="00BF3B4F">
      <w:pPr>
        <w:rPr>
          <w:rFonts w:asciiTheme="minorHAnsi" w:eastAsia="Calibri" w:hAnsiTheme="minorHAnsi"/>
          <w:color w:val="000000"/>
        </w:rPr>
      </w:pPr>
    </w:p>
    <w:p w14:paraId="4C45F934" w14:textId="77777777" w:rsidR="00BF3B4F" w:rsidRPr="001C6A26" w:rsidRDefault="001C6A26" w:rsidP="001C6A26">
      <w:pPr>
        <w:pStyle w:val="NormalWeb"/>
        <w:spacing w:before="0" w:beforeAutospacing="0" w:after="0" w:afterAutospacing="0"/>
        <w:rPr>
          <w:rFonts w:asciiTheme="minorHAnsi" w:eastAsia="Calibri" w:hAnsiTheme="minorHAnsi"/>
        </w:rPr>
      </w:pPr>
      <w:r w:rsidRPr="001C6A26">
        <w:rPr>
          <w:rFonts w:asciiTheme="minorHAnsi" w:eastAsia="Calibri" w:hAnsiTheme="minorHAnsi"/>
          <w:color w:val="000000"/>
        </w:rPr>
        <w:t xml:space="preserve">Using the most up-to-date Arizona data on cases, deaths, and hospital capacity including ventilator use, and learning from the experience of other regions most similar to Arizona, our model provides a two- to four-week future projection specific to Arizona that can be continuously updated as social isolation measures begin to flatten the curve. This model can serve as an actionable management tool to guide ongoing policy response to manage risk at local and state levels. </w:t>
      </w:r>
    </w:p>
    <w:p w14:paraId="337617C8" w14:textId="77777777" w:rsidR="00BF3B4F" w:rsidRPr="001C6A26" w:rsidRDefault="00BF3B4F" w:rsidP="001C6A26">
      <w:pPr>
        <w:pStyle w:val="NormalWeb"/>
        <w:spacing w:before="0" w:beforeAutospacing="0" w:after="0" w:afterAutospacing="0"/>
        <w:rPr>
          <w:rFonts w:asciiTheme="minorHAnsi" w:eastAsia="Calibri" w:hAnsiTheme="minorHAnsi"/>
          <w:color w:val="000000"/>
        </w:rPr>
      </w:pPr>
    </w:p>
    <w:p w14:paraId="547B2FF8" w14:textId="46DEEB31" w:rsidR="00BF3B4F" w:rsidRPr="001C6A26" w:rsidRDefault="001C6A26" w:rsidP="001C6A26">
      <w:pPr>
        <w:pStyle w:val="ListParagraph"/>
        <w:numPr>
          <w:ilvl w:val="0"/>
          <w:numId w:val="4"/>
        </w:numPr>
        <w:ind w:left="360"/>
      </w:pPr>
      <w:r w:rsidRPr="001C6A26">
        <w:t xml:space="preserve">We created five scenarios.  The scenarios are based on the currently available case count data as of April 20, 2020.  Each scenario is based on a plausible future outcome.  The differences in each scenario are due to variables that are key drivers of the model output:  transmission rate, </w:t>
      </w:r>
      <w:r w:rsidR="004500CD">
        <w:rPr>
          <w:rFonts w:cstheme="minorHAnsi"/>
        </w:rPr>
        <w:sym w:font="Symbol" w:char="F062"/>
      </w:r>
      <w:r w:rsidRPr="001C6A26">
        <w:t xml:space="preserve"> of symptomatic individuals (transmission rates of other infected types are functions of this parameter), disease characteristics that are scientifically unknown (epistemic uncertainty), rate of transmissions by asymptomatic patients, seasonal effects, and random variability (aleatory uncertainty).</w:t>
      </w:r>
    </w:p>
    <w:p w14:paraId="14EC0E8B" w14:textId="77777777" w:rsidR="00BF3B4F" w:rsidRPr="001C6A26" w:rsidRDefault="00BF3B4F">
      <w:pPr>
        <w:rPr>
          <w:rFonts w:asciiTheme="minorHAnsi" w:eastAsia="Calibri" w:hAnsiTheme="minorHAnsi"/>
        </w:rPr>
      </w:pPr>
    </w:p>
    <w:p w14:paraId="3EF6AEFB" w14:textId="7F212B6B" w:rsidR="00BF3B4F" w:rsidRPr="001C6A26" w:rsidRDefault="001C6A26" w:rsidP="001C6A26">
      <w:pPr>
        <w:pStyle w:val="ListParagraph"/>
        <w:numPr>
          <w:ilvl w:val="0"/>
          <w:numId w:val="4"/>
        </w:numPr>
        <w:ind w:left="360"/>
      </w:pPr>
      <w:r w:rsidRPr="001C6A26">
        <w:t xml:space="preserve">Our models are developed around key issues that are presently </w:t>
      </w:r>
      <w:proofErr w:type="gramStart"/>
      <w:r w:rsidRPr="001C6A26">
        <w:t>unknown, but</w:t>
      </w:r>
      <w:proofErr w:type="gramEnd"/>
      <w:r w:rsidRPr="001C6A26">
        <w:t xml:space="preserve"> can cause the predictions to have significantly different outcomes. Examples </w:t>
      </w:r>
      <w:r w:rsidR="00F71D7D">
        <w:rPr>
          <w:rFonts w:cstheme="minorHAnsi"/>
        </w:rPr>
        <w:t>to</w:t>
      </w:r>
      <w:r w:rsidRPr="001C6A26">
        <w:t xml:space="preserve"> such issues are the COVID-19 testing and the prevalence of asymptomatic cases.  The lack of testing and uncertainty around burden of disease in the population makes forecasting particularly challenging. It is important to point out that even the question of whether to forecast an unknown but </w:t>
      </w:r>
      <w:r w:rsidRPr="001C6A26">
        <w:lastRenderedPageBreak/>
        <w:t xml:space="preserve">accurate number is different than forecasting an estimate that is known to be biased/wrong.  </w:t>
      </w:r>
    </w:p>
    <w:p w14:paraId="18A3ADC6" w14:textId="77777777" w:rsidR="00BF3B4F" w:rsidRPr="001C6A26" w:rsidRDefault="00BF3B4F">
      <w:pPr>
        <w:rPr>
          <w:rFonts w:asciiTheme="minorHAnsi" w:eastAsia="Calibri" w:hAnsiTheme="minorHAnsi"/>
        </w:rPr>
      </w:pPr>
    </w:p>
    <w:p w14:paraId="5A4E4F8F" w14:textId="218D0449" w:rsidR="00BF3B4F" w:rsidRPr="001C6A26" w:rsidRDefault="00BA6226" w:rsidP="001C6A26">
      <w:pPr>
        <w:pStyle w:val="ListParagraph"/>
        <w:numPr>
          <w:ilvl w:val="0"/>
          <w:numId w:val="4"/>
        </w:numPr>
        <w:ind w:left="360"/>
      </w:pPr>
      <w:r>
        <w:rPr>
          <w:rFonts w:cstheme="minorHAnsi"/>
        </w:rPr>
        <w:t xml:space="preserve">This update (4/20) is the second major revision of the model and updates the prior projections issued 4/8.  </w:t>
      </w:r>
      <w:r w:rsidR="001C6A26" w:rsidRPr="001C6A26">
        <w:t xml:space="preserve">We </w:t>
      </w:r>
      <w:r w:rsidR="42FF08A2" w:rsidRPr="00B32159">
        <w:rPr>
          <w:rFonts w:cstheme="minorHAnsi"/>
        </w:rPr>
        <w:t>aim</w:t>
      </w:r>
      <w:r w:rsidR="001C6A26" w:rsidRPr="001C6A26">
        <w:t xml:space="preserve"> to update our model weekly</w:t>
      </w:r>
      <w:r w:rsidR="42FF08A2" w:rsidRPr="00B32159">
        <w:rPr>
          <w:rFonts w:cstheme="minorHAnsi"/>
        </w:rPr>
        <w:t xml:space="preserve"> </w:t>
      </w:r>
      <w:r>
        <w:rPr>
          <w:rFonts w:cstheme="minorHAnsi"/>
        </w:rPr>
        <w:t>or when data trends change significantly,</w:t>
      </w:r>
      <w:r w:rsidR="001C6A26" w:rsidRPr="001C6A26">
        <w:t xml:space="preserve"> which will be useful in coming months both as a resource to guide state and local policy changes related to </w:t>
      </w:r>
      <w:r w:rsidR="42FF08A2" w:rsidRPr="00B32159">
        <w:rPr>
          <w:rFonts w:cstheme="minorHAnsi"/>
        </w:rPr>
        <w:t>nonpharmacological</w:t>
      </w:r>
      <w:r w:rsidR="001C6A26" w:rsidRPr="001C6A26">
        <w:t xml:space="preserve"> interventions (i.e. social distancing), and to better characterize the nature and behavior of the novel coronavirus infection in retrospective study.</w:t>
      </w:r>
    </w:p>
    <w:p w14:paraId="094EF77F" w14:textId="77777777" w:rsidR="00BF3B4F" w:rsidRPr="001C6A26" w:rsidRDefault="00BF3B4F" w:rsidP="001C6A26">
      <w:pPr>
        <w:pStyle w:val="ListParagraph"/>
        <w:ind w:left="360"/>
      </w:pPr>
    </w:p>
    <w:p w14:paraId="35796EBF" w14:textId="1F785A33" w:rsidR="00BF3B4F" w:rsidRPr="001C6A26" w:rsidRDefault="001C6A26" w:rsidP="001C6A26">
      <w:pPr>
        <w:pStyle w:val="ListParagraph"/>
        <w:numPr>
          <w:ilvl w:val="0"/>
          <w:numId w:val="4"/>
        </w:numPr>
        <w:ind w:left="360"/>
      </w:pPr>
      <w:r w:rsidRPr="001C6A26">
        <w:t xml:space="preserve">This model </w:t>
      </w:r>
      <w:r w:rsidR="00BA6226">
        <w:rPr>
          <w:rFonts w:cstheme="minorHAnsi"/>
        </w:rPr>
        <w:t>can be</w:t>
      </w:r>
      <w:r w:rsidRPr="001C6A26">
        <w:t xml:space="preserve"> useful for resource planning and tracking progress as the number of active cases fall.  It could also have some utility in the coming months to guide public policy related to </w:t>
      </w:r>
      <w:r w:rsidR="42FF08A2" w:rsidRPr="00B32159">
        <w:rPr>
          <w:rFonts w:cstheme="minorHAnsi"/>
        </w:rPr>
        <w:t>non</w:t>
      </w:r>
      <w:r w:rsidR="00F71D7D">
        <w:rPr>
          <w:rFonts w:cstheme="minorHAnsi"/>
        </w:rPr>
        <w:t>-</w:t>
      </w:r>
      <w:r w:rsidR="42FF08A2" w:rsidRPr="00B32159">
        <w:rPr>
          <w:rFonts w:cstheme="minorHAnsi"/>
        </w:rPr>
        <w:t>pharmacological</w:t>
      </w:r>
      <w:r w:rsidRPr="001C6A26">
        <w:t xml:space="preserve"> interventions, and particularly to assess for a second increase in infection rates due to changes in social distancing behavior or seasonal fluctuations.  At the time this model is being created, there is significant concern within public health and scientific communities about a subsequent wave of infections, possibly in the autumn months.  This model is designed to assist in decisions about how and when to re-open</w:t>
      </w:r>
      <w:r w:rsidR="42FF08A2" w:rsidRPr="00B32159">
        <w:rPr>
          <w:rFonts w:cstheme="minorHAnsi"/>
        </w:rPr>
        <w:t xml:space="preserve"> of</w:t>
      </w:r>
      <w:r w:rsidRPr="001C6A26">
        <w:t xml:space="preserve"> schools and businesses without creating a wave of new infections that overwhelms the healthcare system.  The key to doing this is to observe the unbiased growth rate of new cases and connect that through the timeline of disease progression to measure the efficacy of each intervention on new cases.  Intense social distancing, as is now being practiced in Arizona, will have an immediate effect on transmission, but it will take several days for exposures to incubate the disease, develop symptoms, be tested, and become confirmed cases.  It will take even more time - in some cases weeks - for these cases to be treated and released from the hospital.  This model will help track multiple interventions and their cumulative ability to mitigate the burden of this disease.    </w:t>
      </w:r>
    </w:p>
    <w:p w14:paraId="0E9A644A" w14:textId="77777777" w:rsidR="00BF3B4F" w:rsidRPr="001C6A26" w:rsidRDefault="00BF3B4F" w:rsidP="001C6A26">
      <w:pPr>
        <w:pStyle w:val="ListParagraph"/>
        <w:ind w:left="360"/>
      </w:pPr>
    </w:p>
    <w:p w14:paraId="5406289F" w14:textId="6729176A" w:rsidR="00BF3B4F" w:rsidRPr="001C6A26" w:rsidRDefault="001C6A26" w:rsidP="001C6A26">
      <w:pPr>
        <w:pStyle w:val="ListParagraph"/>
        <w:numPr>
          <w:ilvl w:val="0"/>
          <w:numId w:val="4"/>
        </w:numPr>
        <w:ind w:left="360"/>
      </w:pPr>
      <w:r w:rsidRPr="001C6A26">
        <w:t xml:space="preserve">Model updates.  We don’t anticipate the model </w:t>
      </w:r>
      <w:r w:rsidR="00274C64" w:rsidRPr="00B32159">
        <w:rPr>
          <w:rFonts w:cstheme="minorHAnsi"/>
        </w:rPr>
        <w:t>to stay</w:t>
      </w:r>
      <w:r w:rsidRPr="001C6A26">
        <w:t xml:space="preserve"> stagnant for long.  We intend to update model assumptions and scenarios as scientific evidence and consensus become available from ongoing studies. We will publish a list of the updates since the last published model.  </w:t>
      </w:r>
    </w:p>
    <w:p w14:paraId="0B514F61" w14:textId="77777777" w:rsidR="00BF3B4F" w:rsidRPr="001C6A26" w:rsidRDefault="00BF3B4F">
      <w:pPr>
        <w:rPr>
          <w:rFonts w:asciiTheme="minorHAnsi" w:eastAsia="Calibri" w:hAnsiTheme="minorHAnsi"/>
        </w:rPr>
      </w:pPr>
    </w:p>
    <w:p w14:paraId="495EFA21" w14:textId="77777777" w:rsidR="00BF3B4F" w:rsidRPr="001C6A26" w:rsidRDefault="001C6A26" w:rsidP="001C6A26">
      <w:pPr>
        <w:pStyle w:val="ListParagraph"/>
        <w:numPr>
          <w:ilvl w:val="0"/>
          <w:numId w:val="4"/>
        </w:numPr>
        <w:ind w:left="360"/>
      </w:pPr>
      <w:r w:rsidRPr="001C6A26">
        <w:t xml:space="preserve">Working Group products.  The models produced by the ADHS COVID-19 Modeling WG are living documents controlled by MWG membership.  The aim of the MWG is to produce consensus products with adequate scientific justification.  Over time, we anticipate the evidence base for MWG projections to change and the MWG is responsible for coordinating model updates.  </w:t>
      </w:r>
    </w:p>
    <w:p w14:paraId="5BAE9F2D" w14:textId="77777777" w:rsidR="00BF3B4F" w:rsidRPr="001C6A26" w:rsidRDefault="00BF3B4F">
      <w:pPr>
        <w:rPr>
          <w:rFonts w:asciiTheme="minorHAnsi" w:eastAsia="Calibri" w:hAnsiTheme="minorHAnsi"/>
        </w:rPr>
      </w:pPr>
    </w:p>
    <w:p w14:paraId="551D5D5C" w14:textId="77777777" w:rsidR="00BF3B4F" w:rsidRPr="001C6A26" w:rsidRDefault="001C6A26" w:rsidP="001C6A26">
      <w:pPr>
        <w:pStyle w:val="ListParagraph"/>
        <w:numPr>
          <w:ilvl w:val="0"/>
          <w:numId w:val="4"/>
        </w:numPr>
        <w:ind w:left="360"/>
      </w:pPr>
      <w:r w:rsidRPr="001C6A26">
        <w:t xml:space="preserve">Forward looking: The models will be developed so that we can track changes in disease transmission, account for time delays, and update projections based on observations from testing data.  The model is being built around the paradigm of gradual re-opening with controlled relaxation of social distancing restrictions to ensure that we do not have an additional wave of infections that overruns hospital capacity.  </w:t>
      </w:r>
    </w:p>
    <w:p w14:paraId="62936E5B" w14:textId="77777777" w:rsidR="00BF3B4F" w:rsidRPr="001C6A26" w:rsidRDefault="001C6A26">
      <w:pPr>
        <w:pStyle w:val="Heading1"/>
        <w:rPr>
          <w:rFonts w:asciiTheme="minorHAnsi" w:hAnsiTheme="minorHAnsi"/>
        </w:rPr>
      </w:pPr>
      <w:r w:rsidRPr="001C6A26">
        <w:rPr>
          <w:rFonts w:asciiTheme="minorHAnsi" w:hAnsiTheme="minorHAnsi"/>
        </w:rPr>
        <w:lastRenderedPageBreak/>
        <w:t>Model Assumptions</w:t>
      </w:r>
    </w:p>
    <w:p w14:paraId="4CFD9464"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We use customized SEIR models with additional infected compartments to represent the diversity of disease progression in infected individuals. </w:t>
      </w:r>
    </w:p>
    <w:p w14:paraId="3732996B" w14:textId="77777777" w:rsidR="00BF3B4F" w:rsidRPr="001C6A26" w:rsidRDefault="00BF3B4F">
      <w:pPr>
        <w:rPr>
          <w:rFonts w:asciiTheme="minorHAnsi" w:eastAsia="Calibri" w:hAnsiTheme="minorHAnsi"/>
        </w:rPr>
      </w:pPr>
    </w:p>
    <w:p w14:paraId="79C118DA" w14:textId="77777777" w:rsidR="00F701DF" w:rsidRPr="00853A92" w:rsidRDefault="00F701DF" w:rsidP="4D3E24F2">
      <w:pPr>
        <w:keepNext/>
        <w:rPr>
          <w:rFonts w:asciiTheme="minorHAnsi" w:eastAsiaTheme="minorEastAsia" w:hAnsiTheme="minorHAnsi" w:cstheme="minorHAnsi"/>
        </w:rPr>
      </w:pPr>
      <w:r w:rsidRPr="00853A92">
        <w:rPr>
          <w:rFonts w:asciiTheme="minorHAnsi" w:hAnsiTheme="minorHAnsi" w:cstheme="minorHAnsi"/>
          <w:noProof/>
        </w:rPr>
        <w:drawing>
          <wp:inline distT="0" distB="0" distL="0" distR="0" wp14:anchorId="7FE35036" wp14:editId="4E8932E9">
            <wp:extent cx="5943600" cy="24505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ing Notes2.pdf"/>
                    <pic:cNvPicPr/>
                  </pic:nvPicPr>
                  <pic:blipFill rotWithShape="1">
                    <a:blip r:embed="rId13">
                      <a:extLst>
                        <a:ext uri="{28A0092B-C50C-407E-A947-70E740481C1C}">
                          <a14:useLocalDpi xmlns:a14="http://schemas.microsoft.com/office/drawing/2010/main" val="0"/>
                        </a:ext>
                      </a:extLst>
                    </a:blip>
                    <a:srcRect b="16576"/>
                    <a:stretch/>
                  </pic:blipFill>
                  <pic:spPr bwMode="auto">
                    <a:xfrm>
                      <a:off x="0" y="0"/>
                      <a:ext cx="5943600" cy="2450592"/>
                    </a:xfrm>
                    <a:prstGeom prst="rect">
                      <a:avLst/>
                    </a:prstGeom>
                    <a:ln>
                      <a:noFill/>
                    </a:ln>
                    <a:extLst>
                      <a:ext uri="{53640926-AAD7-44D8-BBD7-CCE9431645EC}">
                        <a14:shadowObscured xmlns:a14="http://schemas.microsoft.com/office/drawing/2010/main"/>
                      </a:ext>
                    </a:extLst>
                  </pic:spPr>
                </pic:pic>
              </a:graphicData>
            </a:graphic>
          </wp:inline>
        </w:drawing>
      </w:r>
    </w:p>
    <w:p w14:paraId="16B634BB" w14:textId="1A17F684" w:rsidR="00BF3B4F" w:rsidRPr="001C6A26" w:rsidRDefault="001C6A26" w:rsidP="001C6A26">
      <w:pPr>
        <w:pStyle w:val="Caption"/>
        <w:rPr>
          <w:sz w:val="24"/>
        </w:rPr>
      </w:pPr>
      <w:r w:rsidRPr="001C6A26">
        <w:rPr>
          <w:sz w:val="24"/>
        </w:rPr>
        <w:t xml:space="preserve">Figure </w:t>
      </w:r>
      <w:r w:rsidR="00F701DF" w:rsidRPr="002029D3">
        <w:rPr>
          <w:rFonts w:cstheme="minorHAnsi"/>
          <w:sz w:val="24"/>
        </w:rPr>
        <w:fldChar w:fldCharType="begin"/>
      </w:r>
      <w:r w:rsidR="00F701DF" w:rsidRPr="002029D3">
        <w:rPr>
          <w:rFonts w:cstheme="minorHAnsi"/>
          <w:sz w:val="24"/>
        </w:rPr>
        <w:instrText xml:space="preserve"> SEQ Figure \* ARABIC </w:instrText>
      </w:r>
      <w:r w:rsidR="00F701DF" w:rsidRPr="002029D3">
        <w:rPr>
          <w:rFonts w:cstheme="minorHAnsi"/>
          <w:sz w:val="24"/>
        </w:rPr>
        <w:fldChar w:fldCharType="separate"/>
      </w:r>
      <w:r w:rsidR="0044282C">
        <w:rPr>
          <w:rFonts w:cstheme="minorHAnsi"/>
          <w:noProof/>
          <w:sz w:val="24"/>
        </w:rPr>
        <w:t>6</w:t>
      </w:r>
      <w:r w:rsidR="00F701DF" w:rsidRPr="002029D3">
        <w:rPr>
          <w:rFonts w:cstheme="minorHAnsi"/>
          <w:noProof/>
          <w:sz w:val="24"/>
        </w:rPr>
        <w:fldChar w:fldCharType="end"/>
      </w:r>
      <w:r w:rsidR="4D3E24F2" w:rsidRPr="002029D3">
        <w:rPr>
          <w:rFonts w:eastAsiaTheme="minorEastAsia" w:cstheme="minorHAnsi"/>
          <w:sz w:val="24"/>
        </w:rPr>
        <w:t>.</w:t>
      </w:r>
      <w:r w:rsidRPr="001C6A26">
        <w:rPr>
          <w:sz w:val="24"/>
        </w:rPr>
        <w:t xml:space="preserve"> AZ SEIR model with ICU compartments</w:t>
      </w:r>
    </w:p>
    <w:p w14:paraId="6711B469"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SEIR model and the indicated parameters given in Figure 1 represents an update of the Model0 that was used to generate some initial estimates on 4/1/2020. The following paragraphs explain our rationale for the parameter choices made in the model. </w:t>
      </w:r>
    </w:p>
    <w:p w14:paraId="2D430F1D" w14:textId="77777777" w:rsidR="00BF3B4F" w:rsidRPr="001C6A26" w:rsidRDefault="00BF3B4F">
      <w:pPr>
        <w:rPr>
          <w:rFonts w:asciiTheme="minorHAnsi" w:eastAsia="Calibri" w:hAnsiTheme="minorHAnsi"/>
        </w:rPr>
      </w:pPr>
    </w:p>
    <w:p w14:paraId="00A7A5C1" w14:textId="77777777" w:rsidR="00BF3B4F" w:rsidRPr="001C6A26" w:rsidRDefault="001C6A26">
      <w:pPr>
        <w:rPr>
          <w:rFonts w:asciiTheme="minorHAnsi" w:eastAsia="Calibri" w:hAnsiTheme="minorHAnsi"/>
        </w:rPr>
      </w:pPr>
      <w:r w:rsidRPr="001C6A26">
        <w:rPr>
          <w:rFonts w:asciiTheme="minorHAnsi" w:eastAsia="Calibri" w:hAnsiTheme="minorHAnsi"/>
          <w:b/>
        </w:rPr>
        <w:t>Asymptomatic cases</w:t>
      </w:r>
      <w:r w:rsidRPr="001C6A26">
        <w:rPr>
          <w:rFonts w:asciiTheme="minorHAnsi" w:eastAsia="Calibri" w:hAnsiTheme="minorHAnsi"/>
        </w:rPr>
        <w:t xml:space="preserve">: We have chosen to use the proportion of asymptomatic cases identified by </w:t>
      </w:r>
      <w:proofErr w:type="spellStart"/>
      <w:r w:rsidRPr="001C6A26">
        <w:rPr>
          <w:rFonts w:asciiTheme="minorHAnsi" w:eastAsia="Calibri" w:hAnsiTheme="minorHAnsi"/>
        </w:rPr>
        <w:t>Mizumoto</w:t>
      </w:r>
      <w:proofErr w:type="spellEnd"/>
      <w:r w:rsidRPr="001C6A26">
        <w:rPr>
          <w:rFonts w:asciiTheme="minorHAnsi" w:eastAsia="Calibri" w:hAnsiTheme="minorHAnsi"/>
        </w:rPr>
        <w:t xml:space="preserve"> and his colleagues (</w:t>
      </w:r>
      <w:proofErr w:type="spellStart"/>
      <w:r w:rsidRPr="001C6A26">
        <w:rPr>
          <w:rFonts w:asciiTheme="minorHAnsi" w:eastAsia="Calibri" w:hAnsiTheme="minorHAnsi"/>
        </w:rPr>
        <w:t>Mizumoto</w:t>
      </w:r>
      <w:proofErr w:type="spellEnd"/>
      <w:r w:rsidRPr="001C6A26">
        <w:rPr>
          <w:rFonts w:asciiTheme="minorHAnsi" w:eastAsia="Calibri" w:hAnsiTheme="minorHAnsi"/>
        </w:rPr>
        <w:t xml:space="preserve"> et al., 2020) onboard the Diamond Princess. In particular, we assume that 18.5% of exposed individuals a symptomatic, and do not exhibit clinical symptoms that can be detected. Repeat testing of passengers provided enough information to allow better tracking of asymptomatic infections than other available studies (as of April 1, 2020). Because the population of the Diamond Princess was older than average, it is possible the proportion of asymptomatic cases was lower than in other populations based on public health reports from other affected populations with more normal age distributions. </w:t>
      </w:r>
    </w:p>
    <w:p w14:paraId="3A8E84E7" w14:textId="77777777" w:rsidR="00BF3B4F" w:rsidRPr="001C6A26" w:rsidRDefault="00BF3B4F">
      <w:pPr>
        <w:rPr>
          <w:rFonts w:asciiTheme="minorHAnsi" w:eastAsia="Calibri" w:hAnsiTheme="minorHAnsi"/>
        </w:rPr>
      </w:pPr>
    </w:p>
    <w:p w14:paraId="088D56B5"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While a study of returning Japanese patients (Nishiura et al., 2020) found a higher rate (33%), the number of asymptomatic, virus-positive people was very small (N=5).  A study of nursing home patients found 30% of patients were “asymptomatic or </w:t>
      </w:r>
      <w:proofErr w:type="spellStart"/>
      <w:r w:rsidRPr="001C6A26">
        <w:rPr>
          <w:rFonts w:asciiTheme="minorHAnsi" w:eastAsia="Calibri" w:hAnsiTheme="minorHAnsi"/>
        </w:rPr>
        <w:t>presymptomatic</w:t>
      </w:r>
      <w:proofErr w:type="spellEnd"/>
      <w:r w:rsidRPr="001C6A26">
        <w:rPr>
          <w:rFonts w:asciiTheme="minorHAnsi" w:eastAsia="Calibri" w:hAnsiTheme="minorHAnsi"/>
        </w:rPr>
        <w:t xml:space="preserve">” on the day of testing (Kimball et al., 2020), however the combining of categories makes this proportion less useful for our model. Given the potential of assumptions about the asymptomatic portion to raise the number of cases, a conservative estimate of asymptomatic proportion is prudent in these circumstances. </w:t>
      </w:r>
    </w:p>
    <w:p w14:paraId="314412F4" w14:textId="77777777" w:rsidR="00BF3B4F" w:rsidRPr="001C6A26" w:rsidRDefault="00BF3B4F">
      <w:pPr>
        <w:rPr>
          <w:rFonts w:asciiTheme="minorHAnsi" w:eastAsia="Calibri" w:hAnsiTheme="minorHAnsi"/>
        </w:rPr>
      </w:pPr>
    </w:p>
    <w:p w14:paraId="1B97F322" w14:textId="77777777" w:rsidR="00BF3B4F" w:rsidRPr="001C6A26" w:rsidRDefault="001C6A26">
      <w:pPr>
        <w:rPr>
          <w:rFonts w:asciiTheme="minorHAnsi" w:eastAsia="Calibri" w:hAnsiTheme="minorHAnsi"/>
        </w:rPr>
      </w:pPr>
      <w:r w:rsidRPr="001C6A26">
        <w:rPr>
          <w:rFonts w:asciiTheme="minorHAnsi" w:eastAsia="Calibri" w:hAnsiTheme="minorHAnsi"/>
        </w:rPr>
        <w:t>We assumed that asymptomatic cases represent mild infections that patients recover on an average of 6 days (</w:t>
      </w:r>
      <w:proofErr w:type="spellStart"/>
      <w:r w:rsidRPr="001C6A26">
        <w:rPr>
          <w:rFonts w:asciiTheme="minorHAnsi" w:eastAsia="Calibri" w:hAnsiTheme="minorHAnsi"/>
        </w:rPr>
        <w:t>Wolfel</w:t>
      </w:r>
      <w:proofErr w:type="spellEnd"/>
      <w:r w:rsidRPr="001C6A26">
        <w:rPr>
          <w:rFonts w:asciiTheme="minorHAnsi" w:eastAsia="Calibri" w:hAnsiTheme="minorHAnsi"/>
        </w:rPr>
        <w:t xml:space="preserve"> et al., 2020; Tindale et al., 2020). </w:t>
      </w:r>
    </w:p>
    <w:p w14:paraId="2F5726AF" w14:textId="77777777" w:rsidR="00BF3B4F" w:rsidRPr="001C6A26" w:rsidRDefault="00BF3B4F">
      <w:pPr>
        <w:rPr>
          <w:rFonts w:asciiTheme="minorHAnsi" w:eastAsia="Calibri" w:hAnsiTheme="minorHAnsi"/>
        </w:rPr>
      </w:pPr>
    </w:p>
    <w:p w14:paraId="3D73DE6B" w14:textId="77777777" w:rsidR="00BF3B4F" w:rsidRPr="001C6A26" w:rsidRDefault="001C6A26">
      <w:pPr>
        <w:rPr>
          <w:rFonts w:asciiTheme="minorHAnsi" w:eastAsia="Calibri" w:hAnsiTheme="minorHAnsi"/>
        </w:rPr>
      </w:pPr>
      <w:r w:rsidRPr="001C6A26">
        <w:rPr>
          <w:rFonts w:asciiTheme="minorHAnsi" w:eastAsia="Calibri" w:hAnsiTheme="minorHAnsi"/>
          <w:b/>
        </w:rPr>
        <w:lastRenderedPageBreak/>
        <w:t xml:space="preserve">Transmission rate by asymptomatic individuals: </w:t>
      </w:r>
      <w:r w:rsidRPr="001C6A26">
        <w:rPr>
          <w:rFonts w:asciiTheme="minorHAnsi" w:eastAsia="Calibri" w:hAnsiTheme="minorHAnsi"/>
        </w:rPr>
        <w:t xml:space="preserve">A critical reason for modeling asymptomatic patients explicitly is the observation that these individuals transmit the disease, but at a lower rate (Ferguson et al., 2020). Based on this observation, we assumed that asymptomatic individuals, and individuals who are </w:t>
      </w:r>
      <w:proofErr w:type="spellStart"/>
      <w:r w:rsidRPr="001C6A26">
        <w:rPr>
          <w:rFonts w:asciiTheme="minorHAnsi" w:eastAsia="Calibri" w:hAnsiTheme="minorHAnsi"/>
        </w:rPr>
        <w:t>presymptomatic</w:t>
      </w:r>
      <w:proofErr w:type="spellEnd"/>
      <w:r w:rsidRPr="001C6A26">
        <w:rPr>
          <w:rFonts w:asciiTheme="minorHAnsi" w:eastAsia="Calibri" w:hAnsiTheme="minorHAnsi"/>
        </w:rPr>
        <w:t xml:space="preserve"> transmit at a rate that is 55% of the rate of transmission by symptomatic individuals. </w:t>
      </w:r>
    </w:p>
    <w:p w14:paraId="2128765B" w14:textId="77777777" w:rsidR="00BF3B4F" w:rsidRPr="001C6A26" w:rsidRDefault="00BF3B4F">
      <w:pPr>
        <w:rPr>
          <w:rFonts w:asciiTheme="minorHAnsi" w:eastAsia="Calibri" w:hAnsiTheme="minorHAnsi"/>
        </w:rPr>
      </w:pPr>
    </w:p>
    <w:p w14:paraId="28513F7A" w14:textId="5250F272" w:rsidR="00BF3B4F" w:rsidRPr="001C6A26" w:rsidRDefault="001C6A26">
      <w:pPr>
        <w:rPr>
          <w:rFonts w:asciiTheme="minorHAnsi" w:eastAsia="Calibri" w:hAnsiTheme="minorHAnsi"/>
        </w:rPr>
      </w:pPr>
      <w:r w:rsidRPr="001C6A26">
        <w:rPr>
          <w:rFonts w:asciiTheme="minorHAnsi" w:eastAsia="Calibri" w:hAnsiTheme="minorHAnsi"/>
          <w:b/>
        </w:rPr>
        <w:t xml:space="preserve">Undetected Infections: </w:t>
      </w:r>
      <w:r w:rsidRPr="001C6A26">
        <w:rPr>
          <w:rFonts w:asciiTheme="minorHAnsi" w:eastAsia="Calibri" w:hAnsiTheme="minorHAnsi"/>
        </w:rPr>
        <w:t xml:space="preserve">Several studies have pointed to the fact that a large fraction of infections remain undetected. We used these studies along with the daily data on confirmed cases in Arizona to impute the total number of infected individuals whose infections may be undetected due to the fact that they are asymptomatic or have only mild </w:t>
      </w:r>
      <w:proofErr w:type="gramStart"/>
      <w:r w:rsidRPr="001C6A26">
        <w:rPr>
          <w:rFonts w:asciiTheme="minorHAnsi" w:eastAsia="Calibri" w:hAnsiTheme="minorHAnsi"/>
        </w:rPr>
        <w:t>symptoms, or</w:t>
      </w:r>
      <w:proofErr w:type="gramEnd"/>
      <w:r w:rsidRPr="001C6A26">
        <w:rPr>
          <w:rFonts w:asciiTheme="minorHAnsi" w:eastAsia="Calibri" w:hAnsiTheme="minorHAnsi"/>
        </w:rPr>
        <w:t xml:space="preserve"> are not tested for a COVID19 infection. In particular, two reliable studies predict that the actual number of infections is about 11 times the current number of documented cases (Li et al., 2020 and Ferguson et al., 2020). We use this estimate to calibrate our models based on the daily confirmed case data in the State. </w:t>
      </w:r>
      <w:r w:rsidR="00015B91">
        <w:rPr>
          <w:rFonts w:asciiTheme="minorHAnsi" w:eastAsiaTheme="minorEastAsia" w:hAnsiTheme="minorHAnsi" w:cstheme="minorHAnsi"/>
        </w:rPr>
        <w:t xml:space="preserve"> In the prior version of the model, we reported undetected cases (estimated) as infections.  In this version, we load undetected cases into the initial conditions of the model where they contribute to the transmission term as undetected and potentially asymptomatic cases.  The number we report for infections is inversely proportional to the undetected proportion of cases so that it is consistent across scenarios and with reporting data.  It should be noted that there is a major advantage to this model approach because we can estimate the recovered individuals who have acquired some level of immunity under each scenario, and therefore can use the model to forecast re-opening scenarios that rely on herd immunity.  </w:t>
      </w:r>
    </w:p>
    <w:p w14:paraId="4FFCEA8F" w14:textId="77777777" w:rsidR="00BF3B4F" w:rsidRPr="001C6A26" w:rsidRDefault="00BF3B4F">
      <w:pPr>
        <w:rPr>
          <w:rFonts w:asciiTheme="minorHAnsi" w:eastAsia="Calibri" w:hAnsiTheme="minorHAnsi"/>
        </w:rPr>
      </w:pPr>
    </w:p>
    <w:p w14:paraId="34BF557A" w14:textId="2458DAA1" w:rsidR="00BF3B4F" w:rsidRPr="001C6A26" w:rsidRDefault="001C6A26">
      <w:pPr>
        <w:rPr>
          <w:rFonts w:asciiTheme="minorHAnsi" w:eastAsia="Calibri" w:hAnsiTheme="minorHAnsi"/>
        </w:rPr>
      </w:pPr>
      <w:r w:rsidRPr="001C6A26">
        <w:rPr>
          <w:rFonts w:asciiTheme="minorHAnsi" w:eastAsia="Calibri" w:hAnsiTheme="minorHAnsi"/>
          <w:b/>
        </w:rPr>
        <w:t xml:space="preserve">Rates of Hospitalization, ICU Admission: </w:t>
      </w:r>
      <w:r w:rsidRPr="001C6A26">
        <w:rPr>
          <w:rFonts w:asciiTheme="minorHAnsi" w:eastAsia="Calibri" w:hAnsiTheme="minorHAnsi"/>
        </w:rPr>
        <w:t>We used a CDC provided modeling guideline document to set hospitalization rates and ICU admission rates in our model (CDC COVID response team, 2020). In particular, we assumed that symptomatic patients will be seeking healthcare on their 5</w:t>
      </w:r>
      <w:r w:rsidRPr="001C6A26">
        <w:rPr>
          <w:rFonts w:asciiTheme="minorHAnsi" w:eastAsia="Calibri" w:hAnsiTheme="minorHAnsi"/>
          <w:vertAlign w:val="superscript"/>
        </w:rPr>
        <w:t>th</w:t>
      </w:r>
      <w:r w:rsidRPr="001C6A26">
        <w:rPr>
          <w:rFonts w:asciiTheme="minorHAnsi" w:eastAsia="Calibri" w:hAnsiTheme="minorHAnsi"/>
        </w:rPr>
        <w:t xml:space="preserve"> day of symptom onset, and </w:t>
      </w:r>
      <w:r w:rsidR="001C0C4B">
        <w:rPr>
          <w:rFonts w:asciiTheme="minorHAnsi" w:eastAsiaTheme="minorEastAsia" w:hAnsiTheme="minorHAnsi" w:cstheme="minorHAnsi"/>
        </w:rPr>
        <w:t>12</w:t>
      </w:r>
      <w:r w:rsidRPr="001C6A26">
        <w:rPr>
          <w:rFonts w:asciiTheme="minorHAnsi" w:eastAsia="Calibri" w:hAnsiTheme="minorHAnsi"/>
        </w:rPr>
        <w:t xml:space="preserve">% of these individuals will be hospitalized. The remaining patients take an average of 3 days to recover at home, which mirrors our assumption on the recovery duration of asymptomatic cases. Several other model parameters used come directly from CDC modeling documentation, including expectations of time in hospital, ICU admissions, transmission rates, and rates of symptomatic patients. </w:t>
      </w:r>
    </w:p>
    <w:p w14:paraId="2B3F07E2" w14:textId="77777777" w:rsidR="00BF3B4F" w:rsidRPr="001C6A26" w:rsidRDefault="00BF3B4F">
      <w:pPr>
        <w:rPr>
          <w:rFonts w:asciiTheme="minorHAnsi" w:eastAsia="Calibri" w:hAnsiTheme="minorHAnsi"/>
        </w:rPr>
      </w:pPr>
    </w:p>
    <w:p w14:paraId="2C1E256C"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probability that an ICU patient will die is an ensemble average of the estimates obtained from a number of sources. In particular, rates of mortality on mechanical ventilators are found to be relatively high for COVID-19. We adopted a value of 22% for probability since it results in an overall mortality rate of 2% among symptomatic individuals. </w:t>
      </w:r>
    </w:p>
    <w:p w14:paraId="1B8E5C2E" w14:textId="77777777" w:rsidR="00BF3B4F" w:rsidRPr="001C6A26" w:rsidRDefault="00BF3B4F">
      <w:pPr>
        <w:rPr>
          <w:rFonts w:asciiTheme="minorHAnsi" w:eastAsia="Calibri" w:hAnsiTheme="minorHAnsi"/>
        </w:rPr>
      </w:pPr>
    </w:p>
    <w:p w14:paraId="3F73102D"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The proportion of ICU patients who need mechanical ventilators has been estimated as 88% in Arizona. We used this estimate to obtain estimates for the required number of ventilators under each scenario. </w:t>
      </w:r>
    </w:p>
    <w:p w14:paraId="3C40626B" w14:textId="77777777" w:rsidR="00BF3B4F" w:rsidRPr="001C6A26" w:rsidRDefault="00BF3B4F">
      <w:pPr>
        <w:rPr>
          <w:rFonts w:asciiTheme="minorHAnsi" w:eastAsia="Calibri" w:hAnsiTheme="minorHAnsi"/>
        </w:rPr>
      </w:pPr>
    </w:p>
    <w:p w14:paraId="0D0C7512" w14:textId="77777777" w:rsidR="00BF3B4F" w:rsidRPr="001C6A26" w:rsidRDefault="001C6A26">
      <w:pPr>
        <w:rPr>
          <w:rFonts w:asciiTheme="minorHAnsi" w:eastAsia="Calibri" w:hAnsiTheme="minorHAnsi"/>
        </w:rPr>
      </w:pPr>
      <w:r w:rsidRPr="001C6A26">
        <w:rPr>
          <w:rFonts w:asciiTheme="minorHAnsi" w:eastAsia="Calibri" w:hAnsiTheme="minorHAnsi"/>
          <w:b/>
        </w:rPr>
        <w:t>Time in Each Disease Phase</w:t>
      </w:r>
      <w:r w:rsidRPr="001C6A26">
        <w:rPr>
          <w:rFonts w:asciiTheme="minorHAnsi" w:eastAsia="Calibri" w:hAnsiTheme="minorHAnsi"/>
        </w:rPr>
        <w:t xml:space="preserve">: Length of disease phases was compiled from Ferguson (2020), CDC planning documents, Wang (200) and Chen (2020).  Some phases were estimated from overall disease length and known symptomatic time. </w:t>
      </w:r>
    </w:p>
    <w:p w14:paraId="31F3F0FB" w14:textId="77777777" w:rsidR="00BF3B4F" w:rsidRPr="001C6A26" w:rsidRDefault="00BF3B4F">
      <w:pPr>
        <w:rPr>
          <w:rFonts w:asciiTheme="minorHAnsi" w:eastAsia="Calibri" w:hAnsiTheme="minorHAnsi"/>
        </w:rPr>
      </w:pPr>
    </w:p>
    <w:p w14:paraId="7670A4EC"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Several studies point to the difference between the ICU stays by patients who eventually recover, and ICU patients who die. In particular, time to death from symptom onset is estimated to be 17.4 days and time to recovery from symptom onset is estimated to be 24.7 days by Verity et al. (2020). We used this estimate to estimate the durations in each phase of the disease in the hospital, assuming that 45% of the hospitalized patients will need ICU care, and among those, 88% will require mechanical ventilation. </w:t>
      </w:r>
    </w:p>
    <w:p w14:paraId="5A73E679" w14:textId="77777777" w:rsidR="00BF3B4F" w:rsidRPr="001C6A26" w:rsidRDefault="00BF3B4F">
      <w:pPr>
        <w:rPr>
          <w:rFonts w:asciiTheme="minorHAnsi" w:eastAsia="Calibri" w:hAnsiTheme="minorHAnsi"/>
        </w:rPr>
      </w:pPr>
    </w:p>
    <w:p w14:paraId="2B5D89CC" w14:textId="77777777" w:rsidR="00BF3B4F" w:rsidRPr="001C6A26" w:rsidRDefault="00BF3B4F">
      <w:pPr>
        <w:rPr>
          <w:rFonts w:asciiTheme="minorHAnsi" w:eastAsia="Calibri" w:hAnsiTheme="minorHAnsi"/>
        </w:rPr>
      </w:pPr>
    </w:p>
    <w:p w14:paraId="3E7C28C8" w14:textId="77777777" w:rsidR="00BF3B4F" w:rsidRPr="001C6A26" w:rsidRDefault="001C6A26">
      <w:pPr>
        <w:rPr>
          <w:rFonts w:asciiTheme="minorHAnsi" w:eastAsia="Calibri" w:hAnsiTheme="minorHAnsi"/>
        </w:rPr>
      </w:pPr>
      <w:r w:rsidRPr="001C6A26">
        <w:rPr>
          <w:rFonts w:asciiTheme="minorHAnsi" w:hAnsiTheme="minorHAnsi"/>
        </w:rPr>
        <w:br w:type="page"/>
      </w:r>
    </w:p>
    <w:p w14:paraId="3C355A0C" w14:textId="77777777" w:rsidR="00BF3B4F" w:rsidRPr="001C6A26" w:rsidRDefault="00BF3B4F">
      <w:pPr>
        <w:rPr>
          <w:rFonts w:asciiTheme="minorHAnsi" w:eastAsia="Calibri" w:hAnsiTheme="minorHAnsi"/>
        </w:rPr>
      </w:pPr>
    </w:p>
    <w:p w14:paraId="65CC4C95" w14:textId="7FC8208F" w:rsidR="00BF3B4F" w:rsidRPr="001C6A26" w:rsidRDefault="001C6A26" w:rsidP="001C6A26">
      <w:pPr>
        <w:pStyle w:val="Caption"/>
        <w:keepNext/>
      </w:pPr>
      <w:r w:rsidRPr="001C6A26">
        <w:rPr>
          <w:sz w:val="24"/>
        </w:rPr>
        <w:t xml:space="preserve">Table </w:t>
      </w:r>
      <w:r w:rsidR="00B41777" w:rsidRPr="002029D3">
        <w:rPr>
          <w:sz w:val="24"/>
        </w:rPr>
        <w:fldChar w:fldCharType="begin"/>
      </w:r>
      <w:r w:rsidR="00B41777" w:rsidRPr="002029D3">
        <w:rPr>
          <w:sz w:val="24"/>
        </w:rPr>
        <w:instrText xml:space="preserve"> SEQ Table \* ARABIC </w:instrText>
      </w:r>
      <w:r w:rsidR="00B41777" w:rsidRPr="002029D3">
        <w:rPr>
          <w:sz w:val="24"/>
        </w:rPr>
        <w:fldChar w:fldCharType="separate"/>
      </w:r>
      <w:r w:rsidR="00B41777" w:rsidRPr="002029D3">
        <w:rPr>
          <w:noProof/>
          <w:sz w:val="24"/>
        </w:rPr>
        <w:t>1</w:t>
      </w:r>
      <w:r w:rsidR="00B41777" w:rsidRPr="002029D3">
        <w:rPr>
          <w:sz w:val="24"/>
        </w:rPr>
        <w:fldChar w:fldCharType="end"/>
      </w:r>
      <w:r w:rsidR="00B41777" w:rsidRPr="002029D3">
        <w:rPr>
          <w:sz w:val="24"/>
        </w:rPr>
        <w:t>.</w:t>
      </w:r>
      <w:r w:rsidRPr="001C6A26">
        <w:rPr>
          <w:sz w:val="24"/>
        </w:rPr>
        <w:t xml:space="preserve"> Estimated parameters for COVID-19 clinical progression, and literature sources</w:t>
      </w:r>
    </w:p>
    <w:tbl>
      <w:tblPr>
        <w:tblStyle w:val="PlainTable21"/>
        <w:tblW w:w="0" w:type="auto"/>
        <w:tblLayout w:type="fixed"/>
        <w:tblLook w:val="0400" w:firstRow="0" w:lastRow="0" w:firstColumn="0" w:lastColumn="0" w:noHBand="0" w:noVBand="1"/>
      </w:tblPr>
      <w:tblGrid>
        <w:gridCol w:w="2700"/>
        <w:gridCol w:w="1350"/>
        <w:gridCol w:w="1440"/>
        <w:gridCol w:w="3870"/>
      </w:tblGrid>
      <w:tr w:rsidR="00BF3B4F" w14:paraId="3C0E8DB9"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69A2E23E" w14:textId="77777777" w:rsidR="00BF3B4F" w:rsidRPr="001C6A26" w:rsidRDefault="001C6A26">
            <w:pPr>
              <w:rPr>
                <w:rFonts w:asciiTheme="minorHAnsi" w:eastAsia="Calibri" w:hAnsiTheme="minorHAnsi"/>
                <w:b/>
                <w:color w:val="333333"/>
                <w:lang w:val="en"/>
              </w:rPr>
            </w:pPr>
            <w:r w:rsidRPr="001C6A26">
              <w:rPr>
                <w:rFonts w:asciiTheme="minorHAnsi" w:eastAsia="Calibri" w:hAnsiTheme="minorHAnsi"/>
                <w:b/>
                <w:color w:val="333333"/>
                <w:lang w:val="en"/>
              </w:rPr>
              <w:t>Quantity</w:t>
            </w:r>
          </w:p>
        </w:tc>
        <w:tc>
          <w:tcPr>
            <w:tcW w:w="1350" w:type="dxa"/>
          </w:tcPr>
          <w:p w14:paraId="28CE56DE" w14:textId="77777777" w:rsidR="00BF3B4F" w:rsidRPr="001C6A26" w:rsidRDefault="001C6A26">
            <w:pPr>
              <w:jc w:val="center"/>
              <w:rPr>
                <w:rFonts w:asciiTheme="minorHAnsi" w:eastAsia="Calibri" w:hAnsiTheme="minorHAnsi"/>
                <w:b/>
                <w:color w:val="333333"/>
                <w:lang w:val="en"/>
              </w:rPr>
            </w:pPr>
            <w:r w:rsidRPr="001C6A26">
              <w:rPr>
                <w:rFonts w:asciiTheme="minorHAnsi" w:eastAsia="Calibri" w:hAnsiTheme="minorHAnsi"/>
                <w:b/>
                <w:color w:val="333333"/>
                <w:lang w:val="en"/>
              </w:rPr>
              <w:t>Parameter</w:t>
            </w:r>
          </w:p>
        </w:tc>
        <w:tc>
          <w:tcPr>
            <w:tcW w:w="1440" w:type="dxa"/>
          </w:tcPr>
          <w:p w14:paraId="0EE73D2C" w14:textId="77777777" w:rsidR="00BF3B4F" w:rsidRPr="001C6A26" w:rsidRDefault="001C6A26">
            <w:pPr>
              <w:rPr>
                <w:rFonts w:asciiTheme="minorHAnsi" w:eastAsia="Calibri" w:hAnsiTheme="minorHAnsi"/>
                <w:b/>
                <w:color w:val="333333"/>
                <w:lang w:val="en"/>
              </w:rPr>
            </w:pPr>
            <w:r w:rsidRPr="001C6A26">
              <w:rPr>
                <w:rFonts w:asciiTheme="minorHAnsi" w:eastAsia="Calibri" w:hAnsiTheme="minorHAnsi"/>
                <w:b/>
                <w:color w:val="333333"/>
                <w:lang w:val="en"/>
              </w:rPr>
              <w:t>Value</w:t>
            </w:r>
          </w:p>
        </w:tc>
        <w:tc>
          <w:tcPr>
            <w:tcW w:w="3870" w:type="dxa"/>
          </w:tcPr>
          <w:p w14:paraId="58226F24" w14:textId="77777777" w:rsidR="00BF3B4F" w:rsidRPr="001C6A26" w:rsidRDefault="001C6A26">
            <w:pPr>
              <w:rPr>
                <w:rFonts w:asciiTheme="minorHAnsi" w:eastAsia="Calibri" w:hAnsiTheme="minorHAnsi"/>
                <w:b/>
                <w:color w:val="333333"/>
                <w:lang w:val="en"/>
              </w:rPr>
            </w:pPr>
            <w:r w:rsidRPr="001C6A26">
              <w:rPr>
                <w:rFonts w:asciiTheme="minorHAnsi" w:eastAsia="Calibri" w:hAnsiTheme="minorHAnsi"/>
                <w:b/>
                <w:color w:val="333333"/>
                <w:lang w:val="en"/>
              </w:rPr>
              <w:t>Source</w:t>
            </w:r>
          </w:p>
        </w:tc>
      </w:tr>
      <w:tr w:rsidR="00BF3B4F" w14:paraId="2C5CFCE1" w14:textId="77777777" w:rsidTr="001C6A26">
        <w:tc>
          <w:tcPr>
            <w:tcW w:w="2700" w:type="dxa"/>
          </w:tcPr>
          <w:p w14:paraId="155FBD4A"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Incubation Period</w:t>
            </w:r>
          </w:p>
        </w:tc>
        <w:tc>
          <w:tcPr>
            <w:tcW w:w="1350" w:type="dxa"/>
          </w:tcPr>
          <w:p w14:paraId="14ED7383" w14:textId="77777777" w:rsidR="00BF3B4F" w:rsidRPr="001C6A26" w:rsidRDefault="001C6A26">
            <w:pPr>
              <w:jc w:val="center"/>
              <w:rPr>
                <w:rFonts w:asciiTheme="minorHAnsi" w:eastAsia="Calibri" w:hAnsiTheme="minorHAnsi"/>
                <w:i/>
                <w:color w:val="333333"/>
                <w:vertAlign w:val="subscript"/>
                <w:lang w:val="en"/>
              </w:rPr>
            </w:pPr>
            <w:r w:rsidRPr="001C6A26">
              <w:rPr>
                <w:rFonts w:asciiTheme="minorHAnsi" w:eastAsia="Calibri" w:hAnsiTheme="minorHAnsi"/>
                <w:i/>
                <w:color w:val="333333"/>
                <w:lang w:val="en"/>
              </w:rPr>
              <w:t>E+I</w:t>
            </w:r>
            <w:r w:rsidRPr="001C6A26">
              <w:rPr>
                <w:rFonts w:asciiTheme="minorHAnsi" w:eastAsia="Calibri" w:hAnsiTheme="minorHAnsi"/>
                <w:i/>
                <w:color w:val="333333"/>
                <w:vertAlign w:val="subscript"/>
                <w:lang w:val="en"/>
              </w:rPr>
              <w:t>P</w:t>
            </w:r>
          </w:p>
        </w:tc>
        <w:tc>
          <w:tcPr>
            <w:tcW w:w="1440" w:type="dxa"/>
          </w:tcPr>
          <w:p w14:paraId="747521D5"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4 days</w:t>
            </w:r>
          </w:p>
        </w:tc>
        <w:tc>
          <w:tcPr>
            <w:tcW w:w="3870" w:type="dxa"/>
          </w:tcPr>
          <w:p w14:paraId="4C9FDFE4"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color w:val="333333"/>
                <w:lang w:val="es"/>
              </w:rPr>
              <w:t>Cai</w:t>
            </w:r>
            <w:proofErr w:type="spellEnd"/>
            <w:r w:rsidRPr="001C6A26">
              <w:rPr>
                <w:rFonts w:asciiTheme="minorHAnsi" w:eastAsia="Calibri" w:hAnsiTheme="minorHAnsi"/>
                <w:color w:val="333333"/>
                <w:lang w:val="es"/>
              </w:rPr>
              <w:t xml:space="preserve"> et al., 2020; </w:t>
            </w:r>
            <w:proofErr w:type="spellStart"/>
            <w:r w:rsidRPr="001C6A26">
              <w:rPr>
                <w:rFonts w:asciiTheme="minorHAnsi" w:eastAsia="Calibri" w:hAnsiTheme="minorHAnsi"/>
                <w:color w:val="333333"/>
                <w:lang w:val="es"/>
              </w:rPr>
              <w:t>Laio</w:t>
            </w:r>
            <w:proofErr w:type="spellEnd"/>
            <w:r w:rsidRPr="001C6A26">
              <w:rPr>
                <w:rFonts w:asciiTheme="minorHAnsi" w:eastAsia="Calibri" w:hAnsiTheme="minorHAnsi"/>
                <w:color w:val="333333"/>
                <w:lang w:val="es"/>
              </w:rPr>
              <w:t xml:space="preserve"> et al., 2020; </w:t>
            </w:r>
            <w:proofErr w:type="spellStart"/>
            <w:r w:rsidRPr="001C6A26">
              <w:rPr>
                <w:rFonts w:asciiTheme="minorHAnsi" w:eastAsia="Calibri" w:hAnsiTheme="minorHAnsi"/>
                <w:color w:val="333333"/>
                <w:lang w:val="es"/>
              </w:rPr>
              <w:t>Lauer</w:t>
            </w:r>
            <w:proofErr w:type="spellEnd"/>
            <w:r w:rsidRPr="001C6A26">
              <w:rPr>
                <w:rFonts w:asciiTheme="minorHAnsi" w:eastAsia="Calibri" w:hAnsiTheme="minorHAnsi"/>
                <w:color w:val="333333"/>
                <w:lang w:val="es"/>
              </w:rPr>
              <w:t xml:space="preserve"> et al., 2020; </w:t>
            </w:r>
          </w:p>
        </w:tc>
      </w:tr>
      <w:tr w:rsidR="00BF3B4F" w14:paraId="28D1FFCA"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065E0F6B"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Proportion of Asymptomatic Infections</w:t>
            </w:r>
          </w:p>
        </w:tc>
        <w:tc>
          <w:tcPr>
            <w:tcW w:w="1350" w:type="dxa"/>
          </w:tcPr>
          <w:p w14:paraId="618240E1" w14:textId="77777777" w:rsidR="00BF3B4F" w:rsidRPr="001C6A26" w:rsidRDefault="001C6A26">
            <w:pPr>
              <w:jc w:val="center"/>
              <w:rPr>
                <w:rFonts w:asciiTheme="minorHAnsi" w:eastAsia="Calibri" w:hAnsiTheme="minorHAnsi"/>
                <w:i/>
                <w:color w:val="333333"/>
                <w:lang w:val="en"/>
              </w:rPr>
            </w:pPr>
            <w:r w:rsidRPr="001C6A26">
              <w:rPr>
                <w:rFonts w:asciiTheme="minorHAnsi" w:eastAsia="Calibri" w:hAnsiTheme="minorHAnsi"/>
                <w:i/>
                <w:color w:val="333333"/>
                <w:lang w:val="en"/>
              </w:rPr>
              <w:t>A</w:t>
            </w:r>
          </w:p>
        </w:tc>
        <w:tc>
          <w:tcPr>
            <w:tcW w:w="1440" w:type="dxa"/>
          </w:tcPr>
          <w:p w14:paraId="5CFFDCBD"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18.5%</w:t>
            </w:r>
          </w:p>
        </w:tc>
        <w:tc>
          <w:tcPr>
            <w:tcW w:w="3870" w:type="dxa"/>
          </w:tcPr>
          <w:p w14:paraId="5EC4392B"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color w:val="333333"/>
                <w:lang w:val="en"/>
              </w:rPr>
              <w:t>Mizumoto</w:t>
            </w:r>
            <w:proofErr w:type="spellEnd"/>
            <w:r w:rsidRPr="001C6A26">
              <w:rPr>
                <w:rFonts w:asciiTheme="minorHAnsi" w:eastAsia="Calibri" w:hAnsiTheme="minorHAnsi"/>
                <w:color w:val="333333"/>
                <w:lang w:val="en"/>
              </w:rPr>
              <w:t xml:space="preserve"> et al., 2020 </w:t>
            </w:r>
          </w:p>
        </w:tc>
      </w:tr>
      <w:tr w:rsidR="00BF3B4F" w14:paraId="1AB8B03E" w14:textId="77777777" w:rsidTr="001C6A26">
        <w:tc>
          <w:tcPr>
            <w:tcW w:w="2700" w:type="dxa"/>
          </w:tcPr>
          <w:p w14:paraId="1B4EA1B5"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Asymptomatic viral shedding</w:t>
            </w:r>
          </w:p>
        </w:tc>
        <w:tc>
          <w:tcPr>
            <w:tcW w:w="1350" w:type="dxa"/>
          </w:tcPr>
          <w:p w14:paraId="329E4E82" w14:textId="77777777" w:rsidR="00BF3B4F" w:rsidRPr="001C6A26" w:rsidRDefault="001C6A26">
            <w:pPr>
              <w:jc w:val="center"/>
              <w:rPr>
                <w:rFonts w:asciiTheme="minorHAnsi" w:eastAsia="Calibri" w:hAnsiTheme="minorHAnsi"/>
                <w:color w:val="333333"/>
                <w:lang w:val="en"/>
              </w:rPr>
            </w:pPr>
            <w:r w:rsidRPr="001C6A26">
              <w:rPr>
                <w:rFonts w:asciiTheme="minorHAnsi" w:eastAsia="Calibri" w:hAnsiTheme="minorHAnsi"/>
                <w:color w:val="333333"/>
                <w:lang w:val="en"/>
              </w:rPr>
              <w:t xml:space="preserve"> </w:t>
            </w:r>
          </w:p>
        </w:tc>
        <w:tc>
          <w:tcPr>
            <w:tcW w:w="1440" w:type="dxa"/>
          </w:tcPr>
          <w:p w14:paraId="7E369C14"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0.55</w:t>
            </w:r>
          </w:p>
        </w:tc>
        <w:tc>
          <w:tcPr>
            <w:tcW w:w="3870" w:type="dxa"/>
          </w:tcPr>
          <w:p w14:paraId="100E96B7"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Li et al., 2020</w:t>
            </w:r>
          </w:p>
        </w:tc>
      </w:tr>
      <w:tr w:rsidR="00BF3B4F" w14:paraId="4143E1FE"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3A4DF21F"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Duration of mild/</w:t>
            </w:r>
            <w:proofErr w:type="spellStart"/>
            <w:r w:rsidRPr="001C6A26">
              <w:rPr>
                <w:rFonts w:asciiTheme="minorHAnsi" w:eastAsia="Calibri" w:hAnsiTheme="minorHAnsi"/>
                <w:color w:val="333333"/>
                <w:lang w:val="en"/>
              </w:rPr>
              <w:t>presymptomatic</w:t>
            </w:r>
            <w:proofErr w:type="spellEnd"/>
            <w:r w:rsidRPr="001C6A26">
              <w:rPr>
                <w:rFonts w:asciiTheme="minorHAnsi" w:eastAsia="Calibri" w:hAnsiTheme="minorHAnsi"/>
                <w:color w:val="333333"/>
                <w:lang w:val="en"/>
              </w:rPr>
              <w:t xml:space="preserve"> phase of infection</w:t>
            </w:r>
          </w:p>
        </w:tc>
        <w:tc>
          <w:tcPr>
            <w:tcW w:w="1350" w:type="dxa"/>
          </w:tcPr>
          <w:p w14:paraId="5B4E608F" w14:textId="77777777" w:rsidR="00BF3B4F" w:rsidRPr="001C6A26" w:rsidRDefault="001C6A26">
            <w:pPr>
              <w:jc w:val="center"/>
              <w:rPr>
                <w:rFonts w:asciiTheme="minorHAnsi" w:eastAsia="Calibri" w:hAnsiTheme="minorHAnsi"/>
                <w:i/>
                <w:color w:val="333333"/>
                <w:vertAlign w:val="subscript"/>
                <w:lang w:val="en"/>
              </w:rPr>
            </w:pPr>
            <w:r w:rsidRPr="001C6A26">
              <w:rPr>
                <w:rFonts w:asciiTheme="minorHAnsi" w:eastAsia="Calibri" w:hAnsiTheme="minorHAnsi"/>
                <w:i/>
                <w:color w:val="333333"/>
                <w:lang w:val="en"/>
              </w:rPr>
              <w:t>I</w:t>
            </w:r>
            <w:r w:rsidRPr="001C6A26">
              <w:rPr>
                <w:rFonts w:asciiTheme="minorHAnsi" w:eastAsia="Calibri" w:hAnsiTheme="minorHAnsi"/>
                <w:i/>
                <w:color w:val="333333"/>
                <w:vertAlign w:val="subscript"/>
                <w:lang w:val="en"/>
              </w:rPr>
              <w:t>P</w:t>
            </w:r>
          </w:p>
        </w:tc>
        <w:tc>
          <w:tcPr>
            <w:tcW w:w="1440" w:type="dxa"/>
          </w:tcPr>
          <w:p w14:paraId="68DB2ADC"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2 days</w:t>
            </w:r>
          </w:p>
        </w:tc>
        <w:tc>
          <w:tcPr>
            <w:tcW w:w="3870" w:type="dxa"/>
          </w:tcPr>
          <w:p w14:paraId="3B081CC1"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Wei et al., 2020</w:t>
            </w:r>
          </w:p>
        </w:tc>
      </w:tr>
      <w:tr w:rsidR="00BF3B4F" w14:paraId="59B478D2" w14:textId="77777777" w:rsidTr="001C6A26">
        <w:tc>
          <w:tcPr>
            <w:tcW w:w="2700" w:type="dxa"/>
          </w:tcPr>
          <w:p w14:paraId="6441AADB"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Infection rate for I</w:t>
            </w:r>
            <w:r w:rsidRPr="001C6A26">
              <w:rPr>
                <w:rFonts w:asciiTheme="minorHAnsi" w:eastAsia="Calibri" w:hAnsiTheme="minorHAnsi"/>
                <w:color w:val="333333"/>
                <w:vertAlign w:val="subscript"/>
                <w:lang w:val="en"/>
              </w:rPr>
              <w:t>S</w:t>
            </w:r>
            <w:r w:rsidRPr="001C6A26">
              <w:rPr>
                <w:rFonts w:asciiTheme="minorHAnsi" w:eastAsia="Calibri" w:hAnsiTheme="minorHAnsi"/>
                <w:color w:val="333333"/>
                <w:lang w:val="en"/>
              </w:rPr>
              <w:t xml:space="preserve"> and I</w:t>
            </w:r>
            <w:r w:rsidRPr="001C6A26">
              <w:rPr>
                <w:rFonts w:asciiTheme="minorHAnsi" w:eastAsia="Calibri" w:hAnsiTheme="minorHAnsi"/>
                <w:color w:val="333333"/>
                <w:vertAlign w:val="subscript"/>
                <w:lang w:val="en"/>
              </w:rPr>
              <w:t>H</w:t>
            </w:r>
            <w:r w:rsidRPr="001C6A26">
              <w:rPr>
                <w:rFonts w:asciiTheme="minorHAnsi" w:eastAsia="Calibri" w:hAnsiTheme="minorHAnsi"/>
                <w:color w:val="333333"/>
                <w:lang w:val="en"/>
              </w:rPr>
              <w:t xml:space="preserve"> cases</w:t>
            </w:r>
          </w:p>
        </w:tc>
        <w:tc>
          <w:tcPr>
            <w:tcW w:w="1350" w:type="dxa"/>
          </w:tcPr>
          <w:p w14:paraId="46448EBE" w14:textId="77777777" w:rsidR="00BF3B4F" w:rsidRPr="001C6A26" w:rsidRDefault="001C6A26">
            <w:pPr>
              <w:jc w:val="center"/>
              <w:rPr>
                <w:rFonts w:asciiTheme="minorHAnsi" w:eastAsia="Calibri" w:hAnsiTheme="minorHAnsi"/>
                <w:i/>
                <w:color w:val="333333"/>
                <w:lang w:val="en"/>
              </w:rPr>
            </w:pPr>
            <w:r w:rsidRPr="001C6A26">
              <w:rPr>
                <w:rFonts w:asciiTheme="minorHAnsi" w:eastAsia="Calibri" w:hAnsiTheme="minorHAnsi"/>
                <w:i/>
                <w:color w:val="333333"/>
                <w:lang w:val="en"/>
              </w:rPr>
              <w:t xml:space="preserve"> </w:t>
            </w:r>
          </w:p>
        </w:tc>
        <w:tc>
          <w:tcPr>
            <w:tcW w:w="1440" w:type="dxa"/>
          </w:tcPr>
          <w:p w14:paraId="4F24DA2D" w14:textId="77777777" w:rsidR="00BF3B4F" w:rsidRPr="001C6A26" w:rsidRDefault="001C6A26">
            <w:pPr>
              <w:rPr>
                <w:rFonts w:asciiTheme="minorHAnsi" w:eastAsia="Calibri" w:hAnsiTheme="minorHAnsi"/>
                <w:color w:val="333333"/>
                <w:lang w:val="en"/>
              </w:rPr>
            </w:pPr>
            <w:r w:rsidRPr="001C6A26">
              <w:rPr>
                <w:rFonts w:asciiTheme="minorHAnsi" w:eastAsia="Calibri" w:hAnsiTheme="minorHAnsi"/>
                <w:color w:val="333333"/>
                <w:lang w:val="en"/>
              </w:rPr>
              <w:t>0.30</w:t>
            </w:r>
          </w:p>
        </w:tc>
        <w:tc>
          <w:tcPr>
            <w:tcW w:w="3870" w:type="dxa"/>
          </w:tcPr>
          <w:p w14:paraId="53D2D14E"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Pei &amp; Shaman, 2020</w:t>
            </w:r>
          </w:p>
        </w:tc>
      </w:tr>
      <w:tr w:rsidR="00BF3B4F" w14:paraId="05997F80"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7B8C082C"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 xml:space="preserve">Duration of LR symptoms before hospital admission </w:t>
            </w:r>
          </w:p>
        </w:tc>
        <w:tc>
          <w:tcPr>
            <w:tcW w:w="1350" w:type="dxa"/>
          </w:tcPr>
          <w:p w14:paraId="462271CD" w14:textId="77777777" w:rsidR="00BF3B4F" w:rsidRPr="001C6A26" w:rsidRDefault="001C6A26">
            <w:pPr>
              <w:jc w:val="center"/>
              <w:rPr>
                <w:rFonts w:asciiTheme="minorHAnsi" w:eastAsia="Calibri" w:hAnsiTheme="minorHAnsi"/>
                <w:i/>
                <w:color w:val="333333"/>
                <w:vertAlign w:val="subscript"/>
                <w:lang w:val="en"/>
              </w:rPr>
            </w:pPr>
            <w:r w:rsidRPr="001C6A26">
              <w:rPr>
                <w:rFonts w:asciiTheme="minorHAnsi" w:eastAsia="Calibri" w:hAnsiTheme="minorHAnsi"/>
                <w:i/>
                <w:color w:val="333333"/>
                <w:lang w:val="en"/>
              </w:rPr>
              <w:t>I</w:t>
            </w:r>
            <w:r w:rsidRPr="001C6A26">
              <w:rPr>
                <w:rFonts w:asciiTheme="minorHAnsi" w:eastAsia="Calibri" w:hAnsiTheme="minorHAnsi"/>
                <w:i/>
                <w:color w:val="333333"/>
                <w:vertAlign w:val="subscript"/>
                <w:lang w:val="en"/>
              </w:rPr>
              <w:t>S</w:t>
            </w:r>
          </w:p>
        </w:tc>
        <w:tc>
          <w:tcPr>
            <w:tcW w:w="1440" w:type="dxa"/>
          </w:tcPr>
          <w:p w14:paraId="32749C04"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3 days</w:t>
            </w:r>
          </w:p>
        </w:tc>
        <w:tc>
          <w:tcPr>
            <w:tcW w:w="3870" w:type="dxa"/>
          </w:tcPr>
          <w:p w14:paraId="3E92176D"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Zhou et al., 2020</w:t>
            </w:r>
          </w:p>
        </w:tc>
      </w:tr>
      <w:tr w:rsidR="00BF3B4F" w14:paraId="75F346D5" w14:textId="77777777" w:rsidTr="001C6A26">
        <w:tc>
          <w:tcPr>
            <w:tcW w:w="2700" w:type="dxa"/>
          </w:tcPr>
          <w:p w14:paraId="6CBD0F3D" w14:textId="77777777" w:rsidR="00BF3B4F" w:rsidRPr="001C6A26" w:rsidRDefault="001C6A26">
            <w:pPr>
              <w:rPr>
                <w:rFonts w:asciiTheme="minorHAnsi" w:eastAsia="Calibri" w:hAnsiTheme="minorHAnsi"/>
                <w:color w:val="333333"/>
                <w:lang w:val="en"/>
              </w:rPr>
            </w:pPr>
            <w:r w:rsidRPr="001C6A26">
              <w:rPr>
                <w:rFonts w:asciiTheme="minorHAnsi" w:eastAsia="Calibri" w:hAnsiTheme="minorHAnsi"/>
                <w:color w:val="333333"/>
                <w:lang w:val="en"/>
              </w:rPr>
              <w:t xml:space="preserve">Duration of infection </w:t>
            </w:r>
          </w:p>
          <w:p w14:paraId="2BFE8AC7"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 xml:space="preserve">(Time from symptoms to hospitalization) </w:t>
            </w:r>
          </w:p>
        </w:tc>
        <w:tc>
          <w:tcPr>
            <w:tcW w:w="1350" w:type="dxa"/>
          </w:tcPr>
          <w:p w14:paraId="5F1EB242" w14:textId="77777777" w:rsidR="00BF3B4F" w:rsidRPr="001C6A26" w:rsidRDefault="001C6A26">
            <w:pPr>
              <w:spacing w:line="276" w:lineRule="auto"/>
              <w:jc w:val="center"/>
              <w:rPr>
                <w:rFonts w:asciiTheme="minorHAnsi" w:eastAsia="Calibri" w:hAnsiTheme="minorHAnsi"/>
                <w:i/>
                <w:color w:val="333333"/>
                <w:vertAlign w:val="subscript"/>
                <w:lang w:val="en"/>
              </w:rPr>
            </w:pPr>
            <w:r w:rsidRPr="001C6A26">
              <w:rPr>
                <w:rFonts w:asciiTheme="minorHAnsi" w:eastAsia="Calibri" w:hAnsiTheme="minorHAnsi"/>
                <w:i/>
                <w:color w:val="333333"/>
                <w:lang w:val="en"/>
              </w:rPr>
              <w:t>I</w:t>
            </w:r>
            <w:r w:rsidRPr="001C6A26">
              <w:rPr>
                <w:rFonts w:asciiTheme="minorHAnsi" w:eastAsia="Calibri" w:hAnsiTheme="minorHAnsi"/>
                <w:i/>
                <w:color w:val="333333"/>
                <w:vertAlign w:val="subscript"/>
                <w:lang w:val="en"/>
              </w:rPr>
              <w:t>P</w:t>
            </w:r>
            <w:r w:rsidRPr="001C6A26">
              <w:rPr>
                <w:rFonts w:asciiTheme="minorHAnsi" w:eastAsia="Calibri" w:hAnsiTheme="minorHAnsi"/>
                <w:i/>
                <w:color w:val="333333"/>
                <w:lang w:val="en"/>
              </w:rPr>
              <w:t>+I</w:t>
            </w:r>
            <w:r w:rsidRPr="001C6A26">
              <w:rPr>
                <w:rFonts w:asciiTheme="minorHAnsi" w:eastAsia="Calibri" w:hAnsiTheme="minorHAnsi"/>
                <w:i/>
                <w:color w:val="333333"/>
                <w:vertAlign w:val="subscript"/>
                <w:lang w:val="en"/>
              </w:rPr>
              <w:t>S</w:t>
            </w:r>
          </w:p>
        </w:tc>
        <w:tc>
          <w:tcPr>
            <w:tcW w:w="1440" w:type="dxa"/>
          </w:tcPr>
          <w:p w14:paraId="37A97022" w14:textId="77777777" w:rsidR="00BF3B4F" w:rsidRPr="001C6A26" w:rsidRDefault="001C6A26">
            <w:pPr>
              <w:spacing w:line="276" w:lineRule="auto"/>
              <w:rPr>
                <w:rFonts w:asciiTheme="minorHAnsi" w:eastAsia="Calibri" w:hAnsiTheme="minorHAnsi"/>
                <w:color w:val="333333"/>
                <w:lang w:val="en"/>
              </w:rPr>
            </w:pPr>
            <w:r w:rsidRPr="001C6A26">
              <w:rPr>
                <w:rFonts w:asciiTheme="minorHAnsi" w:eastAsia="Calibri" w:hAnsiTheme="minorHAnsi"/>
                <w:color w:val="333333"/>
                <w:lang w:val="en"/>
              </w:rPr>
              <w:t>5 days</w:t>
            </w:r>
          </w:p>
        </w:tc>
        <w:tc>
          <w:tcPr>
            <w:tcW w:w="3870" w:type="dxa"/>
          </w:tcPr>
          <w:p w14:paraId="7A3FA03D" w14:textId="77777777" w:rsidR="00BF3B4F" w:rsidRPr="001C6A26" w:rsidRDefault="001C6A26">
            <w:pPr>
              <w:spacing w:line="276" w:lineRule="auto"/>
              <w:rPr>
                <w:rFonts w:asciiTheme="minorHAnsi" w:eastAsia="Calibri" w:hAnsiTheme="minorHAnsi"/>
                <w:color w:val="333333"/>
                <w:lang w:val="en"/>
              </w:rPr>
            </w:pPr>
            <w:r w:rsidRPr="001C6A26">
              <w:rPr>
                <w:rFonts w:asciiTheme="minorHAnsi" w:eastAsia="Calibri" w:hAnsiTheme="minorHAnsi"/>
                <w:color w:val="333333"/>
                <w:lang w:val="en"/>
              </w:rPr>
              <w:t xml:space="preserve"> Tindale et al., 2020; Ferguson et al., 2020; Chen et al., 2020; Wang et al., 2020; Zhou et al., 2020</w:t>
            </w:r>
          </w:p>
        </w:tc>
      </w:tr>
      <w:tr w:rsidR="00BF3B4F" w14:paraId="22777B38"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10F15131"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Hospitalization rate of Is cases</w:t>
            </w:r>
          </w:p>
        </w:tc>
        <w:tc>
          <w:tcPr>
            <w:tcW w:w="1350" w:type="dxa"/>
          </w:tcPr>
          <w:p w14:paraId="14C4895D" w14:textId="77777777" w:rsidR="00BF3B4F" w:rsidRPr="001C6A26" w:rsidRDefault="001C6A26">
            <w:pPr>
              <w:jc w:val="center"/>
              <w:rPr>
                <w:rFonts w:asciiTheme="minorHAnsi" w:eastAsia="Calibri" w:hAnsiTheme="minorHAnsi"/>
                <w:i/>
              </w:rPr>
            </w:pPr>
            <w:r w:rsidRPr="001C6A26">
              <w:rPr>
                <w:rFonts w:asciiTheme="minorHAnsi" w:eastAsia="Calibri" w:hAnsiTheme="minorHAnsi"/>
                <w:i/>
              </w:rPr>
              <w:t>p</w:t>
            </w:r>
            <w:r w:rsidRPr="001C6A26">
              <w:rPr>
                <w:rFonts w:asciiTheme="minorHAnsi" w:eastAsia="Calibri" w:hAnsiTheme="minorHAnsi"/>
                <w:i/>
                <w:vertAlign w:val="subscript"/>
              </w:rPr>
              <w:t>H</w:t>
            </w:r>
          </w:p>
        </w:tc>
        <w:tc>
          <w:tcPr>
            <w:tcW w:w="1440" w:type="dxa"/>
          </w:tcPr>
          <w:p w14:paraId="52D66FFA" w14:textId="3B96187E" w:rsidR="00BF3B4F" w:rsidRPr="001C6A26" w:rsidRDefault="001C0C4B">
            <w:pPr>
              <w:rPr>
                <w:rFonts w:asciiTheme="minorHAnsi" w:eastAsia="Calibri" w:hAnsiTheme="minorHAnsi"/>
              </w:rPr>
            </w:pPr>
            <w:r>
              <w:rPr>
                <w:rFonts w:asciiTheme="minorHAnsi" w:eastAsia="Calibri" w:hAnsiTheme="minorHAnsi" w:cstheme="minorHAnsi"/>
                <w:color w:val="333333"/>
                <w:lang w:val="en"/>
              </w:rPr>
              <w:t>12</w:t>
            </w:r>
            <w:r w:rsidR="001C6A26" w:rsidRPr="001C6A26">
              <w:rPr>
                <w:rFonts w:asciiTheme="minorHAnsi" w:eastAsia="Calibri" w:hAnsiTheme="minorHAnsi"/>
                <w:color w:val="333333"/>
                <w:lang w:val="en"/>
              </w:rPr>
              <w:t>%</w:t>
            </w:r>
          </w:p>
        </w:tc>
        <w:tc>
          <w:tcPr>
            <w:tcW w:w="3870" w:type="dxa"/>
          </w:tcPr>
          <w:p w14:paraId="0792B6B2"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Wu et al., 2020</w:t>
            </w:r>
          </w:p>
        </w:tc>
      </w:tr>
      <w:tr w:rsidR="00BF3B4F" w14:paraId="5F81FAFB" w14:textId="77777777" w:rsidTr="001C6A26">
        <w:tc>
          <w:tcPr>
            <w:tcW w:w="2700" w:type="dxa"/>
          </w:tcPr>
          <w:p w14:paraId="5CBEE1CB"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Proportions of hospitalizations that go to the ICU</w:t>
            </w:r>
          </w:p>
        </w:tc>
        <w:tc>
          <w:tcPr>
            <w:tcW w:w="1350" w:type="dxa"/>
          </w:tcPr>
          <w:p w14:paraId="21E90968" w14:textId="77777777" w:rsidR="00BF3B4F" w:rsidRPr="001C6A26" w:rsidRDefault="001C6A26">
            <w:pPr>
              <w:jc w:val="center"/>
              <w:rPr>
                <w:rFonts w:asciiTheme="minorHAnsi" w:eastAsia="Calibri" w:hAnsiTheme="minorHAnsi"/>
                <w:i/>
                <w:vertAlign w:val="subscript"/>
              </w:rPr>
            </w:pPr>
            <w:proofErr w:type="spellStart"/>
            <w:r w:rsidRPr="001C6A26">
              <w:rPr>
                <w:rFonts w:asciiTheme="minorHAnsi" w:eastAsia="Calibri" w:hAnsiTheme="minorHAnsi"/>
                <w:i/>
              </w:rPr>
              <w:t>p</w:t>
            </w:r>
            <w:r w:rsidRPr="001C6A26">
              <w:rPr>
                <w:rFonts w:asciiTheme="minorHAnsi" w:eastAsia="Calibri" w:hAnsiTheme="minorHAnsi"/>
                <w:i/>
                <w:vertAlign w:val="subscript"/>
              </w:rPr>
              <w:t>ICU</w:t>
            </w:r>
            <w:proofErr w:type="spellEnd"/>
          </w:p>
        </w:tc>
        <w:tc>
          <w:tcPr>
            <w:tcW w:w="1440" w:type="dxa"/>
          </w:tcPr>
          <w:p w14:paraId="041A9A66"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45%</w:t>
            </w:r>
          </w:p>
        </w:tc>
        <w:tc>
          <w:tcPr>
            <w:tcW w:w="3870" w:type="dxa"/>
          </w:tcPr>
          <w:p w14:paraId="0BA1F6B3"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color w:val="333333"/>
                <w:lang w:val="es"/>
              </w:rPr>
              <w:t>Guan</w:t>
            </w:r>
            <w:proofErr w:type="spellEnd"/>
            <w:r w:rsidRPr="001C6A26">
              <w:rPr>
                <w:rFonts w:asciiTheme="minorHAnsi" w:eastAsia="Calibri" w:hAnsiTheme="minorHAnsi"/>
                <w:color w:val="333333"/>
                <w:lang w:val="es"/>
              </w:rPr>
              <w:t xml:space="preserve"> et al., 2020; </w:t>
            </w:r>
            <w:proofErr w:type="spellStart"/>
            <w:r w:rsidRPr="001C6A26">
              <w:rPr>
                <w:rFonts w:asciiTheme="minorHAnsi" w:eastAsia="Calibri" w:hAnsiTheme="minorHAnsi"/>
                <w:color w:val="333333"/>
                <w:lang w:val="es"/>
              </w:rPr>
              <w:t>Wu</w:t>
            </w:r>
            <w:proofErr w:type="spellEnd"/>
            <w:r w:rsidRPr="001C6A26">
              <w:rPr>
                <w:rFonts w:asciiTheme="minorHAnsi" w:eastAsia="Calibri" w:hAnsiTheme="minorHAnsi"/>
                <w:color w:val="333333"/>
                <w:lang w:val="es"/>
              </w:rPr>
              <w:t xml:space="preserve"> &amp; </w:t>
            </w:r>
            <w:proofErr w:type="spellStart"/>
            <w:r w:rsidRPr="001C6A26">
              <w:rPr>
                <w:rFonts w:asciiTheme="minorHAnsi" w:eastAsia="Calibri" w:hAnsiTheme="minorHAnsi"/>
                <w:color w:val="333333"/>
                <w:lang w:val="es"/>
              </w:rPr>
              <w:t>McGoogan</w:t>
            </w:r>
            <w:proofErr w:type="spellEnd"/>
            <w:r w:rsidRPr="001C6A26">
              <w:rPr>
                <w:rFonts w:asciiTheme="minorHAnsi" w:eastAsia="Calibri" w:hAnsiTheme="minorHAnsi"/>
                <w:color w:val="333333"/>
                <w:lang w:val="es"/>
              </w:rPr>
              <w:t>, 2020</w:t>
            </w:r>
          </w:p>
        </w:tc>
      </w:tr>
      <w:tr w:rsidR="00BF3B4F" w14:paraId="14EFA471"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188653BD"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Proportion of mild infections</w:t>
            </w:r>
          </w:p>
        </w:tc>
        <w:tc>
          <w:tcPr>
            <w:tcW w:w="1350" w:type="dxa"/>
          </w:tcPr>
          <w:p w14:paraId="74474A5B" w14:textId="77777777" w:rsidR="00BF3B4F" w:rsidRPr="001C6A26" w:rsidRDefault="001C6A26">
            <w:pPr>
              <w:jc w:val="center"/>
              <w:rPr>
                <w:rFonts w:asciiTheme="minorHAnsi" w:eastAsia="Calibri" w:hAnsiTheme="minorHAnsi"/>
                <w:i/>
                <w:vertAlign w:val="subscript"/>
              </w:rPr>
            </w:pPr>
            <w:r w:rsidRPr="001C6A26">
              <w:rPr>
                <w:rFonts w:asciiTheme="minorHAnsi" w:eastAsia="Calibri" w:hAnsiTheme="minorHAnsi"/>
              </w:rPr>
              <w:t>1-</w:t>
            </w:r>
            <w:r w:rsidRPr="001C6A26">
              <w:rPr>
                <w:rFonts w:asciiTheme="minorHAnsi" w:eastAsia="Calibri" w:hAnsiTheme="minorHAnsi"/>
                <w:i/>
              </w:rPr>
              <w:t>p</w:t>
            </w:r>
            <w:r w:rsidRPr="001C6A26">
              <w:rPr>
                <w:rFonts w:asciiTheme="minorHAnsi" w:eastAsia="Calibri" w:hAnsiTheme="minorHAnsi"/>
                <w:i/>
                <w:vertAlign w:val="subscript"/>
              </w:rPr>
              <w:t>H</w:t>
            </w:r>
          </w:p>
        </w:tc>
        <w:tc>
          <w:tcPr>
            <w:tcW w:w="1440" w:type="dxa"/>
          </w:tcPr>
          <w:p w14:paraId="6DFC76F2"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80%</w:t>
            </w:r>
          </w:p>
        </w:tc>
        <w:tc>
          <w:tcPr>
            <w:tcW w:w="3870" w:type="dxa"/>
          </w:tcPr>
          <w:p w14:paraId="096C25B7"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color w:val="333333"/>
                <w:lang w:val="es"/>
              </w:rPr>
              <w:t>Wu</w:t>
            </w:r>
            <w:proofErr w:type="spellEnd"/>
            <w:r w:rsidRPr="001C6A26">
              <w:rPr>
                <w:rFonts w:asciiTheme="minorHAnsi" w:eastAsia="Calibri" w:hAnsiTheme="minorHAnsi"/>
                <w:color w:val="333333"/>
                <w:lang w:val="es"/>
              </w:rPr>
              <w:t xml:space="preserve"> et al., </w:t>
            </w:r>
            <w:proofErr w:type="gramStart"/>
            <w:r w:rsidRPr="001C6A26">
              <w:rPr>
                <w:rFonts w:asciiTheme="minorHAnsi" w:eastAsia="Calibri" w:hAnsiTheme="minorHAnsi"/>
                <w:color w:val="333333"/>
                <w:lang w:val="es"/>
              </w:rPr>
              <w:t>2020;  Yang</w:t>
            </w:r>
            <w:proofErr w:type="gramEnd"/>
            <w:r w:rsidRPr="001C6A26">
              <w:rPr>
                <w:rFonts w:asciiTheme="minorHAnsi" w:eastAsia="Calibri" w:hAnsiTheme="minorHAnsi"/>
                <w:color w:val="333333"/>
                <w:lang w:val="es"/>
              </w:rPr>
              <w:t xml:space="preserve"> et al., 2020</w:t>
            </w:r>
          </w:p>
        </w:tc>
      </w:tr>
      <w:tr w:rsidR="00BF3B4F" w14:paraId="70FB077E" w14:textId="77777777" w:rsidTr="001C6A26">
        <w:tc>
          <w:tcPr>
            <w:tcW w:w="2700" w:type="dxa"/>
          </w:tcPr>
          <w:p w14:paraId="4884370D"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Duration of illness from symptom onset</w:t>
            </w:r>
          </w:p>
        </w:tc>
        <w:tc>
          <w:tcPr>
            <w:tcW w:w="1350" w:type="dxa"/>
          </w:tcPr>
          <w:p w14:paraId="1340C9D0"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 xml:space="preserve"> </w:t>
            </w:r>
          </w:p>
        </w:tc>
        <w:tc>
          <w:tcPr>
            <w:tcW w:w="1440" w:type="dxa"/>
          </w:tcPr>
          <w:p w14:paraId="378AED1B"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23 days</w:t>
            </w:r>
          </w:p>
        </w:tc>
        <w:tc>
          <w:tcPr>
            <w:tcW w:w="3870" w:type="dxa"/>
          </w:tcPr>
          <w:p w14:paraId="67B6F5A7"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Verity et al., 2020</w:t>
            </w:r>
          </w:p>
        </w:tc>
      </w:tr>
      <w:tr w:rsidR="00BF3B4F" w14:paraId="6169041F"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695B6854"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Time from symptom onset to death</w:t>
            </w:r>
          </w:p>
        </w:tc>
        <w:tc>
          <w:tcPr>
            <w:tcW w:w="1350" w:type="dxa"/>
          </w:tcPr>
          <w:p w14:paraId="72BE4C95"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 xml:space="preserve"> </w:t>
            </w:r>
          </w:p>
        </w:tc>
        <w:tc>
          <w:tcPr>
            <w:tcW w:w="1440" w:type="dxa"/>
          </w:tcPr>
          <w:p w14:paraId="098CE9D1"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17 days</w:t>
            </w:r>
          </w:p>
        </w:tc>
        <w:tc>
          <w:tcPr>
            <w:tcW w:w="3870" w:type="dxa"/>
          </w:tcPr>
          <w:p w14:paraId="7DF2A9CC"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Verity et al., 2020; Wu et al. 2020</w:t>
            </w:r>
          </w:p>
        </w:tc>
      </w:tr>
      <w:tr w:rsidR="00BF3B4F" w14:paraId="731809CE" w14:textId="77777777" w:rsidTr="001C6A26">
        <w:tc>
          <w:tcPr>
            <w:tcW w:w="2700" w:type="dxa"/>
          </w:tcPr>
          <w:p w14:paraId="14D013C6"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 xml:space="preserve">Case Fatality Rate </w:t>
            </w:r>
          </w:p>
        </w:tc>
        <w:tc>
          <w:tcPr>
            <w:tcW w:w="1350" w:type="dxa"/>
          </w:tcPr>
          <w:p w14:paraId="0D9345BC" w14:textId="77777777" w:rsidR="00BF3B4F" w:rsidRPr="001C6A26" w:rsidRDefault="001C6A26">
            <w:pPr>
              <w:rPr>
                <w:rFonts w:asciiTheme="minorHAnsi" w:eastAsia="Calibri" w:hAnsiTheme="minorHAnsi"/>
              </w:rPr>
            </w:pPr>
            <w:r w:rsidRPr="001C6A26">
              <w:rPr>
                <w:rFonts w:asciiTheme="minorHAnsi" w:eastAsia="Calibri" w:hAnsiTheme="minorHAnsi"/>
                <w:i/>
                <w:color w:val="333333"/>
                <w:lang w:val="en"/>
              </w:rPr>
              <w:t xml:space="preserve"> </w:t>
            </w:r>
          </w:p>
        </w:tc>
        <w:tc>
          <w:tcPr>
            <w:tcW w:w="1440" w:type="dxa"/>
          </w:tcPr>
          <w:p w14:paraId="65E6F69D"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2%</w:t>
            </w:r>
          </w:p>
        </w:tc>
        <w:tc>
          <w:tcPr>
            <w:tcW w:w="3870" w:type="dxa"/>
          </w:tcPr>
          <w:p w14:paraId="688FE383"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Wu et al., 2020</w:t>
            </w:r>
          </w:p>
        </w:tc>
      </w:tr>
      <w:tr w:rsidR="00BF3B4F" w14:paraId="66D4C1F2" w14:textId="77777777" w:rsidTr="001C6A26">
        <w:trPr>
          <w:cnfStyle w:val="000000100000" w:firstRow="0" w:lastRow="0" w:firstColumn="0" w:lastColumn="0" w:oddVBand="0" w:evenVBand="0" w:oddHBand="1" w:evenHBand="0" w:firstRowFirstColumn="0" w:firstRowLastColumn="0" w:lastRowFirstColumn="0" w:lastRowLastColumn="0"/>
        </w:trPr>
        <w:tc>
          <w:tcPr>
            <w:tcW w:w="2700" w:type="dxa"/>
          </w:tcPr>
          <w:p w14:paraId="7C3D0F48"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Overall ICU Mortality</w:t>
            </w:r>
          </w:p>
        </w:tc>
        <w:tc>
          <w:tcPr>
            <w:tcW w:w="1350" w:type="dxa"/>
          </w:tcPr>
          <w:p w14:paraId="4D802947" w14:textId="77777777" w:rsidR="00BF3B4F" w:rsidRPr="001C6A26" w:rsidRDefault="001C6A26">
            <w:pPr>
              <w:jc w:val="center"/>
              <w:rPr>
                <w:rFonts w:asciiTheme="minorHAnsi" w:eastAsia="Calibri" w:hAnsiTheme="minorHAnsi"/>
                <w:i/>
                <w:vertAlign w:val="subscript"/>
              </w:rPr>
            </w:pPr>
            <w:proofErr w:type="spellStart"/>
            <w:r w:rsidRPr="001C6A26">
              <w:rPr>
                <w:rFonts w:asciiTheme="minorHAnsi" w:eastAsia="Calibri" w:hAnsiTheme="minorHAnsi"/>
                <w:i/>
              </w:rPr>
              <w:t>p</w:t>
            </w:r>
            <w:r w:rsidRPr="001C6A26">
              <w:rPr>
                <w:rFonts w:asciiTheme="minorHAnsi" w:eastAsia="Calibri" w:hAnsiTheme="minorHAnsi"/>
                <w:i/>
                <w:vertAlign w:val="subscript"/>
              </w:rPr>
              <w:t>D</w:t>
            </w:r>
            <w:proofErr w:type="spellEnd"/>
          </w:p>
        </w:tc>
        <w:tc>
          <w:tcPr>
            <w:tcW w:w="1440" w:type="dxa"/>
          </w:tcPr>
          <w:p w14:paraId="48BC66D4" w14:textId="77777777" w:rsidR="00BF3B4F" w:rsidRPr="001C6A26" w:rsidRDefault="001C6A26">
            <w:pPr>
              <w:rPr>
                <w:rFonts w:asciiTheme="minorHAnsi" w:eastAsia="Calibri" w:hAnsiTheme="minorHAnsi"/>
              </w:rPr>
            </w:pPr>
            <w:r w:rsidRPr="001C6A26">
              <w:rPr>
                <w:rFonts w:asciiTheme="minorHAnsi" w:eastAsia="Calibri" w:hAnsiTheme="minorHAnsi"/>
                <w:color w:val="333333"/>
                <w:lang w:val="en"/>
              </w:rPr>
              <w:t>22%</w:t>
            </w:r>
          </w:p>
        </w:tc>
        <w:tc>
          <w:tcPr>
            <w:tcW w:w="3870" w:type="dxa"/>
          </w:tcPr>
          <w:p w14:paraId="7EC1AB47"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color w:val="333333"/>
                <w:lang w:val="en"/>
              </w:rPr>
              <w:t>Grasselli</w:t>
            </w:r>
            <w:proofErr w:type="spellEnd"/>
            <w:r w:rsidRPr="001C6A26">
              <w:rPr>
                <w:rFonts w:asciiTheme="minorHAnsi" w:eastAsia="Calibri" w:hAnsiTheme="minorHAnsi"/>
                <w:color w:val="333333"/>
                <w:lang w:val="en"/>
              </w:rPr>
              <w:t xml:space="preserve"> et al., 2020</w:t>
            </w:r>
          </w:p>
        </w:tc>
      </w:tr>
    </w:tbl>
    <w:p w14:paraId="0B214433" w14:textId="77777777" w:rsidR="00BF3B4F" w:rsidRPr="001C6A26" w:rsidRDefault="001C6A26">
      <w:pPr>
        <w:rPr>
          <w:rFonts w:asciiTheme="minorHAnsi" w:eastAsia="Calibri" w:hAnsiTheme="minorHAnsi"/>
        </w:rPr>
      </w:pPr>
      <w:r w:rsidRPr="001C6A26">
        <w:rPr>
          <w:rFonts w:asciiTheme="minorHAnsi" w:eastAsia="Calibri" w:hAnsiTheme="minorHAnsi"/>
        </w:rPr>
        <w:br/>
      </w:r>
    </w:p>
    <w:p w14:paraId="1641FF7E" w14:textId="77777777" w:rsidR="00BF3B4F" w:rsidRPr="001C6A26" w:rsidRDefault="001C6A26">
      <w:pPr>
        <w:rPr>
          <w:rFonts w:asciiTheme="minorHAnsi" w:eastAsia="Calibri" w:hAnsiTheme="minorHAnsi"/>
          <w:color w:val="2F5496" w:themeColor="accent1" w:themeShade="BF"/>
          <w:sz w:val="32"/>
        </w:rPr>
      </w:pPr>
      <w:r w:rsidRPr="001C6A26">
        <w:rPr>
          <w:rFonts w:asciiTheme="minorHAnsi" w:hAnsiTheme="minorHAnsi"/>
        </w:rPr>
        <w:br w:type="page"/>
      </w:r>
    </w:p>
    <w:p w14:paraId="7CF349A1" w14:textId="77777777" w:rsidR="00BF3B4F" w:rsidRPr="001C6A26" w:rsidRDefault="001C6A26">
      <w:pPr>
        <w:pStyle w:val="Heading1"/>
        <w:rPr>
          <w:rFonts w:asciiTheme="minorHAnsi" w:hAnsiTheme="minorHAnsi"/>
        </w:rPr>
      </w:pPr>
      <w:r w:rsidRPr="001C6A26">
        <w:rPr>
          <w:rFonts w:asciiTheme="minorHAnsi" w:hAnsiTheme="minorHAnsi"/>
        </w:rPr>
        <w:lastRenderedPageBreak/>
        <w:t>Projections Produced by AZ SEIR Model</w:t>
      </w:r>
    </w:p>
    <w:p w14:paraId="1C5CA2EC"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We solve the model as a homogeneous model for the entire state of AZ (with population size 7,728,717) to analyze the dynamics of transmission over time. </w:t>
      </w:r>
    </w:p>
    <w:p w14:paraId="28E2EDE9" w14:textId="77777777" w:rsidR="00BF3B4F" w:rsidRPr="001C6A26" w:rsidRDefault="00BF3B4F">
      <w:pPr>
        <w:rPr>
          <w:rFonts w:asciiTheme="minorHAnsi" w:eastAsia="Calibri" w:hAnsiTheme="minorHAnsi"/>
        </w:rPr>
      </w:pPr>
    </w:p>
    <w:p w14:paraId="24CDC3A3"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To account for the above-mentioned uncertainties, we produce projections under five different scenarios that are likely to represent the spread in relevant measures such as hospitalizations over time, number of deaths due to the outbreak, etc. The five scenarios allow us to produce a range of estimates that between best case and worst case. </w:t>
      </w:r>
    </w:p>
    <w:p w14:paraId="04D6FC57" w14:textId="77777777" w:rsidR="00BF3B4F" w:rsidRPr="001C6A26" w:rsidRDefault="00BF3B4F">
      <w:pPr>
        <w:rPr>
          <w:rFonts w:asciiTheme="minorHAnsi" w:eastAsia="Calibri" w:hAnsiTheme="minorHAnsi"/>
        </w:rPr>
      </w:pPr>
    </w:p>
    <w:p w14:paraId="28272ECB" w14:textId="77777777" w:rsidR="00C97AE5" w:rsidRDefault="00975BD0" w:rsidP="00C97AE5">
      <w:pPr>
        <w:keepNext/>
        <w:jc w:val="center"/>
      </w:pPr>
      <w:r w:rsidRPr="00975BD0">
        <w:rPr>
          <w:noProof/>
        </w:rPr>
        <w:drawing>
          <wp:inline distT="0" distB="0" distL="0" distR="0" wp14:anchorId="023AE76F" wp14:editId="28CD3DF4">
            <wp:extent cx="33147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700" cy="2095500"/>
                    </a:xfrm>
                    <a:prstGeom prst="rect">
                      <a:avLst/>
                    </a:prstGeom>
                  </pic:spPr>
                </pic:pic>
              </a:graphicData>
            </a:graphic>
          </wp:inline>
        </w:drawing>
      </w:r>
    </w:p>
    <w:p w14:paraId="4E975911" w14:textId="40D513BB" w:rsidR="00BF3B4F" w:rsidRPr="001C6A26" w:rsidRDefault="001C6A26" w:rsidP="001C6A26">
      <w:pPr>
        <w:pStyle w:val="Caption"/>
      </w:pPr>
      <w:r w:rsidRPr="001C6A26">
        <w:t xml:space="preserve">Figure </w:t>
      </w:r>
      <w:r w:rsidR="00171B77">
        <w:fldChar w:fldCharType="begin"/>
      </w:r>
      <w:r w:rsidR="00171B77">
        <w:instrText xml:space="preserve"> SEQ Figure \* ARABIC </w:instrText>
      </w:r>
      <w:r w:rsidR="00171B77">
        <w:fldChar w:fldCharType="separate"/>
      </w:r>
      <w:r w:rsidR="0044282C">
        <w:rPr>
          <w:noProof/>
        </w:rPr>
        <w:t>7</w:t>
      </w:r>
      <w:r w:rsidR="00171B77">
        <w:rPr>
          <w:noProof/>
        </w:rPr>
        <w:fldChar w:fldCharType="end"/>
      </w:r>
      <w:r w:rsidR="00C97AE5">
        <w:t>:</w:t>
      </w:r>
      <w:r w:rsidRPr="001C6A26">
        <w:t xml:space="preserve"> Scenarios are drawn from parameterizations for undetected cases and transmission rate, beta.</w:t>
      </w:r>
    </w:p>
    <w:p w14:paraId="1F40C6A2"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We use a multiple for the number of undetected cases in the population: 1X, 4X, and 11X.  A multiple of 11X assumes that there is significant undetected COVID-19 in the community that continues to transmit.  A multiple of 1X assumes that 100% of COVID cases are detected.  For each scenario, we report only the cases that are detected – meaning that we divide the number of infections by the multiple as an estimate of positive reported cases.  Beta = 0.02 is the best fit to the slope of the cumulative cases curve.  </w:t>
      </w:r>
    </w:p>
    <w:p w14:paraId="1310E615" w14:textId="77777777" w:rsidR="00BF3B4F" w:rsidRPr="001C6A26" w:rsidRDefault="00BF3B4F">
      <w:pPr>
        <w:rPr>
          <w:rFonts w:asciiTheme="minorHAnsi" w:eastAsia="Calibri" w:hAnsiTheme="minorHAnsi"/>
        </w:rPr>
      </w:pPr>
    </w:p>
    <w:p w14:paraId="0A577412" w14:textId="4962D4DC" w:rsidR="00BF3B4F" w:rsidRPr="001C6A26" w:rsidRDefault="001C6A26" w:rsidP="001C6A26">
      <w:pPr>
        <w:pStyle w:val="Caption"/>
        <w:keepNext/>
      </w:pPr>
      <w:r w:rsidRPr="001C6A26">
        <w:rPr>
          <w:sz w:val="24"/>
        </w:rPr>
        <w:t xml:space="preserve">Table </w:t>
      </w:r>
      <w:r w:rsidR="00B41777" w:rsidRPr="002029D3">
        <w:rPr>
          <w:sz w:val="24"/>
        </w:rPr>
        <w:fldChar w:fldCharType="begin"/>
      </w:r>
      <w:r w:rsidR="00B41777" w:rsidRPr="002029D3">
        <w:rPr>
          <w:sz w:val="24"/>
        </w:rPr>
        <w:instrText xml:space="preserve"> SEQ Table \* ARABIC </w:instrText>
      </w:r>
      <w:r w:rsidR="00B41777" w:rsidRPr="002029D3">
        <w:rPr>
          <w:sz w:val="24"/>
        </w:rPr>
        <w:fldChar w:fldCharType="separate"/>
      </w:r>
      <w:r w:rsidR="00B41777" w:rsidRPr="002029D3">
        <w:rPr>
          <w:noProof/>
          <w:sz w:val="24"/>
        </w:rPr>
        <w:t>2</w:t>
      </w:r>
      <w:r w:rsidR="00B41777" w:rsidRPr="002029D3">
        <w:rPr>
          <w:sz w:val="24"/>
        </w:rPr>
        <w:fldChar w:fldCharType="end"/>
      </w:r>
      <w:r w:rsidR="00B41777" w:rsidRPr="002029D3">
        <w:rPr>
          <w:sz w:val="24"/>
        </w:rPr>
        <w:t>.</w:t>
      </w:r>
      <w:r w:rsidRPr="001C6A26">
        <w:rPr>
          <w:sz w:val="24"/>
        </w:rPr>
        <w:t xml:space="preserve"> Details on the scenarios considered for the projections</w:t>
      </w:r>
    </w:p>
    <w:tbl>
      <w:tblPr>
        <w:tblStyle w:val="ListTable2-Accent51"/>
        <w:tblW w:w="9458" w:type="dxa"/>
        <w:tblLook w:val="04A0" w:firstRow="1" w:lastRow="0" w:firstColumn="1" w:lastColumn="0" w:noHBand="0" w:noVBand="1"/>
      </w:tblPr>
      <w:tblGrid>
        <w:gridCol w:w="3371"/>
        <w:gridCol w:w="6087"/>
      </w:tblGrid>
      <w:tr w:rsidR="00BF3B4F" w14:paraId="4C428A35" w14:textId="77777777" w:rsidTr="001C6A26">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hideMark/>
          </w:tcPr>
          <w:p w14:paraId="580C921B"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Scenario </w:t>
            </w:r>
          </w:p>
        </w:tc>
        <w:tc>
          <w:tcPr>
            <w:tcW w:w="0" w:type="dxa"/>
            <w:hideMark/>
          </w:tcPr>
          <w:p w14:paraId="754DFF28" w14:textId="77777777" w:rsidR="00BF3B4F" w:rsidRPr="001C6A26" w:rsidRDefault="001C6A26">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rPr>
            </w:pPr>
            <w:r w:rsidRPr="001C6A26">
              <w:rPr>
                <w:rFonts w:asciiTheme="minorHAnsi" w:eastAsia="Calibri" w:hAnsiTheme="minorHAnsi"/>
              </w:rPr>
              <w:t>Description</w:t>
            </w:r>
          </w:p>
        </w:tc>
      </w:tr>
      <w:tr w:rsidR="00BF3B4F" w14:paraId="49512398" w14:textId="77777777" w:rsidTr="001C6A26">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0" w:type="dxa"/>
            <w:hideMark/>
          </w:tcPr>
          <w:p w14:paraId="2FBCE3A7" w14:textId="77777777" w:rsidR="00BF3B4F" w:rsidRPr="001C6A26" w:rsidRDefault="001C6A26">
            <w:pPr>
              <w:rPr>
                <w:rFonts w:asciiTheme="minorHAnsi" w:eastAsia="Calibri" w:hAnsiTheme="minorHAnsi"/>
              </w:rPr>
            </w:pPr>
            <w:r w:rsidRPr="001C6A26">
              <w:rPr>
                <w:rFonts w:asciiTheme="minorHAnsi" w:eastAsia="Calibri" w:hAnsiTheme="minorHAnsi"/>
              </w:rPr>
              <w:t>Scenario 1.</w:t>
            </w:r>
          </w:p>
        </w:tc>
        <w:tc>
          <w:tcPr>
            <w:tcW w:w="0" w:type="dxa"/>
            <w:hideMark/>
          </w:tcPr>
          <w:p w14:paraId="5E798ADB" w14:textId="19884A6F" w:rsidR="00832787" w:rsidRPr="00F71D7D" w:rsidRDefault="00832787" w:rsidP="008327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2787">
              <w:rPr>
                <w:rFonts w:asciiTheme="minorHAnsi" w:hAnsiTheme="minorHAnsi" w:cstheme="minorHAnsi"/>
                <w:b/>
                <w:bCs/>
              </w:rPr>
              <w:t>Best case scenario.</w:t>
            </w:r>
            <w:r>
              <w:rPr>
                <w:rFonts w:asciiTheme="minorHAnsi" w:hAnsiTheme="minorHAnsi" w:cstheme="minorHAnsi"/>
              </w:rPr>
              <w:t xml:space="preserve"> </w:t>
            </w:r>
            <w:r w:rsidR="001C6A26" w:rsidRPr="001C6A26">
              <w:rPr>
                <w:rFonts w:asciiTheme="minorHAnsi" w:eastAsia="Calibri" w:hAnsiTheme="minorHAnsi"/>
              </w:rPr>
              <w:t xml:space="preserve">Assumes </w:t>
            </w:r>
            <w:r>
              <w:rPr>
                <w:rFonts w:asciiTheme="minorHAnsi" w:hAnsiTheme="minorHAnsi" w:cstheme="minorHAnsi"/>
              </w:rPr>
              <w:t xml:space="preserve">“high” effective social distancing with </w:t>
            </w:r>
            <w:proofErr w:type="gramStart"/>
            <w:r>
              <w:rPr>
                <w:rFonts w:asciiTheme="minorHAnsi" w:hAnsiTheme="minorHAnsi" w:cstheme="minorHAnsi"/>
              </w:rPr>
              <w:t>an</w:t>
            </w:r>
            <w:proofErr w:type="gramEnd"/>
            <w:r>
              <w:rPr>
                <w:rFonts w:asciiTheme="minorHAnsi" w:hAnsiTheme="minorHAnsi" w:cstheme="minorHAnsi"/>
              </w:rPr>
              <w:t xml:space="preserve"> </w:t>
            </w:r>
            <w:r w:rsidR="00975BD0">
              <w:rPr>
                <w:rFonts w:asciiTheme="minorHAnsi" w:hAnsiTheme="minorHAnsi" w:cstheme="minorHAnsi"/>
              </w:rPr>
              <w:t xml:space="preserve">low </w:t>
            </w:r>
            <w:r>
              <w:rPr>
                <w:rFonts w:asciiTheme="minorHAnsi" w:hAnsiTheme="minorHAnsi" w:cstheme="minorHAnsi"/>
              </w:rPr>
              <w:t xml:space="preserve">effective </w:t>
            </w:r>
            <w:r w:rsidR="001C6A26" w:rsidRPr="001C6A26">
              <w:rPr>
                <w:rFonts w:asciiTheme="minorHAnsi" w:eastAsia="Calibri" w:hAnsiTheme="minorHAnsi"/>
              </w:rPr>
              <w:t xml:space="preserve">transmission rate </w:t>
            </w:r>
            <w:r w:rsidR="00975BD0">
              <w:rPr>
                <w:rFonts w:asciiTheme="minorHAnsi" w:hAnsiTheme="minorHAnsi" w:cstheme="minorHAnsi"/>
              </w:rPr>
              <w:t>(</w:t>
            </w:r>
            <w:r>
              <w:rPr>
                <w:rFonts w:asciiTheme="minorHAnsi" w:hAnsiTheme="minorHAnsi" w:cstheme="minorHAnsi"/>
              </w:rPr>
              <w:t>beta =</w:t>
            </w:r>
            <w:r w:rsidR="001C6A26" w:rsidRPr="001C6A26">
              <w:rPr>
                <w:rFonts w:asciiTheme="minorHAnsi" w:eastAsia="Calibri" w:hAnsiTheme="minorHAnsi"/>
              </w:rPr>
              <w:t xml:space="preserve"> 0.</w:t>
            </w:r>
            <w:r>
              <w:rPr>
                <w:rFonts w:asciiTheme="minorHAnsi" w:hAnsiTheme="minorHAnsi" w:cstheme="minorHAnsi"/>
              </w:rPr>
              <w:t>15</w:t>
            </w:r>
            <w:r w:rsidR="00975BD0">
              <w:rPr>
                <w:rFonts w:asciiTheme="minorHAnsi" w:hAnsiTheme="minorHAnsi" w:cstheme="minorHAnsi"/>
              </w:rPr>
              <w:t>)</w:t>
            </w:r>
            <w:r>
              <w:rPr>
                <w:rFonts w:asciiTheme="minorHAnsi" w:hAnsiTheme="minorHAnsi" w:cstheme="minorHAnsi"/>
              </w:rPr>
              <w:t>.</w:t>
            </w:r>
            <w:r w:rsidR="001C6A26" w:rsidRPr="001C6A26">
              <w:rPr>
                <w:rFonts w:asciiTheme="minorHAnsi" w:eastAsia="Calibri" w:hAnsiTheme="minorHAnsi"/>
              </w:rPr>
              <w:t xml:space="preserve">  Assumes </w:t>
            </w:r>
            <w:r>
              <w:rPr>
                <w:rFonts w:asciiTheme="minorHAnsi" w:hAnsiTheme="minorHAnsi" w:cstheme="minorHAnsi"/>
              </w:rPr>
              <w:t xml:space="preserve">that asymptomatic transmission is negligible with a 1X unconfirmed multiple.  A beneficial </w:t>
            </w:r>
            <w:r w:rsidR="001C6A26" w:rsidRPr="001C6A26">
              <w:rPr>
                <w:rFonts w:asciiTheme="minorHAnsi" w:eastAsia="Calibri" w:hAnsiTheme="minorHAnsi"/>
              </w:rPr>
              <w:t xml:space="preserve">Summer effect is modeled by reducing </w:t>
            </w:r>
            <w:r w:rsidRPr="00F71D7D">
              <w:rPr>
                <w:rFonts w:asciiTheme="minorHAnsi" w:hAnsiTheme="minorHAnsi" w:cstheme="minorHAnsi"/>
              </w:rPr>
              <w:t>beta</w:t>
            </w:r>
            <w:r w:rsidR="001C6A26" w:rsidRPr="001C6A26">
              <w:rPr>
                <w:rFonts w:asciiTheme="minorHAnsi" w:eastAsia="Calibri" w:hAnsiTheme="minorHAnsi"/>
              </w:rPr>
              <w:t xml:space="preserve"> by half </w:t>
            </w:r>
            <w:r>
              <w:rPr>
                <w:rFonts w:asciiTheme="minorHAnsi" w:hAnsiTheme="minorHAnsi" w:cstheme="minorHAnsi"/>
              </w:rPr>
              <w:t xml:space="preserve">(to 0.075) </w:t>
            </w:r>
            <w:r w:rsidR="001C6A26" w:rsidRPr="001C6A26">
              <w:rPr>
                <w:rFonts w:asciiTheme="minorHAnsi" w:eastAsia="Calibri" w:hAnsiTheme="minorHAnsi"/>
              </w:rPr>
              <w:t xml:space="preserve">on May </w:t>
            </w:r>
            <w:r>
              <w:rPr>
                <w:rFonts w:asciiTheme="minorHAnsi" w:hAnsiTheme="minorHAnsi" w:cstheme="minorHAnsi"/>
              </w:rPr>
              <w:t xml:space="preserve">1.  </w:t>
            </w:r>
          </w:p>
          <w:p w14:paraId="62754E7E" w14:textId="1C9C45BD" w:rsidR="00BF3B4F" w:rsidRPr="001C6A26" w:rsidRDefault="00BF3B4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rPr>
            </w:pPr>
          </w:p>
        </w:tc>
      </w:tr>
      <w:tr w:rsidR="00BF3B4F" w14:paraId="0A83C370" w14:textId="77777777" w:rsidTr="001C6A26">
        <w:trPr>
          <w:trHeight w:val="1348"/>
        </w:trPr>
        <w:tc>
          <w:tcPr>
            <w:cnfStyle w:val="001000000000" w:firstRow="0" w:lastRow="0" w:firstColumn="1" w:lastColumn="0" w:oddVBand="0" w:evenVBand="0" w:oddHBand="0" w:evenHBand="0" w:firstRowFirstColumn="0" w:firstRowLastColumn="0" w:lastRowFirstColumn="0" w:lastRowLastColumn="0"/>
            <w:tcW w:w="0" w:type="dxa"/>
            <w:hideMark/>
          </w:tcPr>
          <w:p w14:paraId="48CF66AB" w14:textId="77777777" w:rsidR="00BF3B4F" w:rsidRPr="001C6A26" w:rsidRDefault="001C6A26">
            <w:pPr>
              <w:rPr>
                <w:rFonts w:asciiTheme="minorHAnsi" w:eastAsia="Calibri" w:hAnsiTheme="minorHAnsi"/>
              </w:rPr>
            </w:pPr>
            <w:r w:rsidRPr="001C6A26">
              <w:rPr>
                <w:rFonts w:asciiTheme="minorHAnsi" w:eastAsia="Calibri" w:hAnsiTheme="minorHAnsi"/>
              </w:rPr>
              <w:t>Scenario 2.</w:t>
            </w:r>
          </w:p>
        </w:tc>
        <w:tc>
          <w:tcPr>
            <w:tcW w:w="0" w:type="dxa"/>
            <w:hideMark/>
          </w:tcPr>
          <w:p w14:paraId="12776C55" w14:textId="521AB2F7" w:rsidR="00BF3B4F" w:rsidRPr="001C6A26" w:rsidRDefault="0083278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832787">
              <w:rPr>
                <w:rFonts w:asciiTheme="minorHAnsi" w:hAnsiTheme="minorHAnsi" w:cstheme="minorHAnsi"/>
                <w:b/>
                <w:bCs/>
              </w:rPr>
              <w:t>Moderate transmission; no underreporting.</w:t>
            </w:r>
            <w:r>
              <w:rPr>
                <w:rFonts w:asciiTheme="minorHAnsi" w:hAnsiTheme="minorHAnsi" w:cstheme="minorHAnsi"/>
              </w:rPr>
              <w:t xml:space="preserve">  </w:t>
            </w:r>
            <w:r w:rsidR="001C6A26" w:rsidRPr="001C6A26">
              <w:rPr>
                <w:rFonts w:asciiTheme="minorHAnsi" w:eastAsia="Calibri" w:hAnsiTheme="minorHAnsi"/>
              </w:rPr>
              <w:t xml:space="preserve">Assumes </w:t>
            </w:r>
            <w:r w:rsidR="00975BD0">
              <w:rPr>
                <w:rFonts w:asciiTheme="minorHAnsi" w:hAnsiTheme="minorHAnsi" w:cstheme="minorHAnsi"/>
              </w:rPr>
              <w:t>continued</w:t>
            </w:r>
            <w:r w:rsidR="001C6A26" w:rsidRPr="001C6A26">
              <w:rPr>
                <w:rFonts w:asciiTheme="minorHAnsi" w:eastAsia="Calibri" w:hAnsiTheme="minorHAnsi"/>
              </w:rPr>
              <w:t xml:space="preserve"> social distancing </w:t>
            </w:r>
            <w:r w:rsidR="00975BD0">
              <w:rPr>
                <w:rFonts w:asciiTheme="minorHAnsi" w:hAnsiTheme="minorHAnsi" w:cstheme="minorHAnsi"/>
              </w:rPr>
              <w:t xml:space="preserve">with moderate compliance </w:t>
            </w:r>
            <w:r>
              <w:rPr>
                <w:rFonts w:asciiTheme="minorHAnsi" w:hAnsiTheme="minorHAnsi" w:cstheme="minorHAnsi"/>
              </w:rPr>
              <w:t>(beta =</w:t>
            </w:r>
            <w:r w:rsidR="001C6A26" w:rsidRPr="001C6A26">
              <w:rPr>
                <w:rFonts w:asciiTheme="minorHAnsi" w:eastAsia="Calibri" w:hAnsiTheme="minorHAnsi"/>
              </w:rPr>
              <w:t xml:space="preserve"> 0.25</w:t>
            </w:r>
            <w:r>
              <w:rPr>
                <w:rFonts w:asciiTheme="minorHAnsi" w:hAnsiTheme="minorHAnsi" w:cstheme="minorHAnsi"/>
              </w:rPr>
              <w:t xml:space="preserve">) </w:t>
            </w:r>
            <w:r w:rsidR="001C6A26" w:rsidRPr="001C6A26">
              <w:rPr>
                <w:rFonts w:asciiTheme="minorHAnsi" w:eastAsia="Calibri" w:hAnsiTheme="minorHAnsi"/>
              </w:rPr>
              <w:t xml:space="preserve">Summer effect is modeled by reducing </w:t>
            </w:r>
            <w:r w:rsidR="00F71D7D" w:rsidRPr="00F71D7D">
              <w:rPr>
                <w:rFonts w:asciiTheme="minorHAnsi" w:hAnsiTheme="minorHAnsi" w:cstheme="minorHAnsi"/>
              </w:rPr>
              <w:t>beta</w:t>
            </w:r>
            <w:r w:rsidR="001C6A26" w:rsidRPr="001C6A26">
              <w:rPr>
                <w:rFonts w:asciiTheme="minorHAnsi" w:eastAsia="Calibri" w:hAnsiTheme="minorHAnsi"/>
              </w:rPr>
              <w:t xml:space="preserve"> by half on May 15.</w:t>
            </w:r>
          </w:p>
        </w:tc>
      </w:tr>
      <w:tr w:rsidR="00BF3B4F" w14:paraId="6A929F83" w14:textId="77777777" w:rsidTr="001C6A26">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0" w:type="dxa"/>
            <w:hideMark/>
          </w:tcPr>
          <w:p w14:paraId="7BED48E5" w14:textId="77777777" w:rsidR="00BF3B4F" w:rsidRPr="001C6A26" w:rsidRDefault="001C6A26">
            <w:pPr>
              <w:rPr>
                <w:rFonts w:asciiTheme="minorHAnsi" w:eastAsia="Calibri" w:hAnsiTheme="minorHAnsi"/>
              </w:rPr>
            </w:pPr>
            <w:r w:rsidRPr="001C6A26">
              <w:rPr>
                <w:rFonts w:asciiTheme="minorHAnsi" w:eastAsia="Calibri" w:hAnsiTheme="minorHAnsi"/>
              </w:rPr>
              <w:lastRenderedPageBreak/>
              <w:t>Scenario 3.</w:t>
            </w:r>
          </w:p>
        </w:tc>
        <w:tc>
          <w:tcPr>
            <w:tcW w:w="0" w:type="dxa"/>
            <w:hideMark/>
          </w:tcPr>
          <w:p w14:paraId="34382FE8" w14:textId="26F2ABED" w:rsidR="00BF3B4F" w:rsidRPr="001C6A26" w:rsidRDefault="00975BD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rPr>
            </w:pPr>
            <w:r w:rsidRPr="00975BD0">
              <w:rPr>
                <w:rFonts w:asciiTheme="minorHAnsi" w:hAnsiTheme="minorHAnsi" w:cstheme="minorHAnsi"/>
                <w:b/>
                <w:bCs/>
              </w:rPr>
              <w:t>Best fit</w:t>
            </w:r>
            <w:r>
              <w:rPr>
                <w:rFonts w:asciiTheme="minorHAnsi" w:hAnsiTheme="minorHAnsi" w:cstheme="minorHAnsi"/>
              </w:rPr>
              <w:t xml:space="preserve">: </w:t>
            </w:r>
            <w:r w:rsidR="001C6A26" w:rsidRPr="001C6A26">
              <w:rPr>
                <w:rFonts w:asciiTheme="minorHAnsi" w:eastAsia="Calibri" w:hAnsiTheme="minorHAnsi"/>
              </w:rPr>
              <w:t xml:space="preserve">Assumes </w:t>
            </w:r>
            <w:r>
              <w:rPr>
                <w:rFonts w:asciiTheme="minorHAnsi" w:hAnsiTheme="minorHAnsi" w:cstheme="minorHAnsi"/>
              </w:rPr>
              <w:t>undetected</w:t>
            </w:r>
            <w:r w:rsidR="001C6A26" w:rsidRPr="001C6A26">
              <w:rPr>
                <w:rFonts w:asciiTheme="minorHAnsi" w:eastAsia="Calibri" w:hAnsiTheme="minorHAnsi"/>
              </w:rPr>
              <w:t xml:space="preserve"> cases </w:t>
            </w:r>
            <w:r>
              <w:rPr>
                <w:rFonts w:asciiTheme="minorHAnsi" w:hAnsiTheme="minorHAnsi" w:cstheme="minorHAnsi"/>
              </w:rPr>
              <w:t>are 4X known cases</w:t>
            </w:r>
            <w:r w:rsidR="001C6A26" w:rsidRPr="001C6A26">
              <w:rPr>
                <w:rFonts w:asciiTheme="minorHAnsi" w:eastAsia="Calibri" w:hAnsiTheme="minorHAnsi"/>
              </w:rPr>
              <w:t xml:space="preserve"> and </w:t>
            </w:r>
            <w:r>
              <w:rPr>
                <w:rFonts w:asciiTheme="minorHAnsi" w:hAnsiTheme="minorHAnsi" w:cstheme="minorHAnsi"/>
              </w:rPr>
              <w:t xml:space="preserve">can transmit asymptomatically (beta = .20).  </w:t>
            </w:r>
            <w:r w:rsidR="001C6A26" w:rsidRPr="001C6A26">
              <w:rPr>
                <w:rFonts w:asciiTheme="minorHAnsi" w:eastAsia="Calibri" w:hAnsiTheme="minorHAnsi"/>
              </w:rPr>
              <w:t xml:space="preserve">Summer effect is modeled by reducing </w:t>
            </w:r>
            <w:r w:rsidR="00F71D7D" w:rsidRPr="00F71D7D">
              <w:rPr>
                <w:rFonts w:asciiTheme="minorHAnsi" w:hAnsiTheme="minorHAnsi" w:cstheme="minorHAnsi"/>
              </w:rPr>
              <w:t>S</w:t>
            </w:r>
            <w:r w:rsidR="001C6A26" w:rsidRPr="001C6A26">
              <w:rPr>
                <w:rFonts w:asciiTheme="minorHAnsi" w:eastAsia="Calibri" w:hAnsiTheme="minorHAnsi"/>
              </w:rPr>
              <w:t xml:space="preserve"> by half on May 15.  Assumes no additional mitigation</w:t>
            </w:r>
            <w:r>
              <w:rPr>
                <w:rFonts w:asciiTheme="minorHAnsi" w:hAnsiTheme="minorHAnsi" w:cstheme="minorHAnsi"/>
              </w:rPr>
              <w:t xml:space="preserve">, but high compliance with current social distancing orders.  This scenario is the current best fit to the data.  </w:t>
            </w:r>
          </w:p>
        </w:tc>
      </w:tr>
      <w:tr w:rsidR="00BF3B4F" w14:paraId="2D14AE4B" w14:textId="77777777" w:rsidTr="001C6A26">
        <w:trPr>
          <w:trHeight w:val="1348"/>
        </w:trPr>
        <w:tc>
          <w:tcPr>
            <w:cnfStyle w:val="001000000000" w:firstRow="0" w:lastRow="0" w:firstColumn="1" w:lastColumn="0" w:oddVBand="0" w:evenVBand="0" w:oddHBand="0" w:evenHBand="0" w:firstRowFirstColumn="0" w:firstRowLastColumn="0" w:lastRowFirstColumn="0" w:lastRowLastColumn="0"/>
            <w:tcW w:w="0" w:type="dxa"/>
            <w:hideMark/>
          </w:tcPr>
          <w:p w14:paraId="15FE4254" w14:textId="77777777" w:rsidR="00BF3B4F" w:rsidRPr="001C6A26" w:rsidRDefault="001C6A26">
            <w:pPr>
              <w:rPr>
                <w:rFonts w:asciiTheme="minorHAnsi" w:eastAsia="Calibri" w:hAnsiTheme="minorHAnsi"/>
              </w:rPr>
            </w:pPr>
            <w:r w:rsidRPr="001C6A26">
              <w:rPr>
                <w:rFonts w:asciiTheme="minorHAnsi" w:eastAsia="Calibri" w:hAnsiTheme="minorHAnsi"/>
              </w:rPr>
              <w:t>Scenario 4.</w:t>
            </w:r>
          </w:p>
        </w:tc>
        <w:tc>
          <w:tcPr>
            <w:tcW w:w="0" w:type="dxa"/>
            <w:hideMark/>
          </w:tcPr>
          <w:p w14:paraId="6EEA498E" w14:textId="1015F509" w:rsidR="00BF3B4F" w:rsidRPr="001C6A26" w:rsidRDefault="00975BD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975BD0">
              <w:rPr>
                <w:rFonts w:asciiTheme="minorHAnsi" w:hAnsiTheme="minorHAnsi" w:cstheme="minorHAnsi"/>
                <w:b/>
                <w:bCs/>
              </w:rPr>
              <w:t>Limited re-opening scenario.</w:t>
            </w:r>
            <w:r>
              <w:rPr>
                <w:rFonts w:asciiTheme="minorHAnsi" w:hAnsiTheme="minorHAnsi" w:cstheme="minorHAnsi"/>
              </w:rPr>
              <w:t xml:space="preserve"> </w:t>
            </w:r>
            <w:proofErr w:type="gramStart"/>
            <w:r>
              <w:rPr>
                <w:rFonts w:asciiTheme="minorHAnsi" w:hAnsiTheme="minorHAnsi" w:cstheme="minorHAnsi"/>
              </w:rPr>
              <w:t>Limited asymptomatic transmission,</w:t>
            </w:r>
            <w:proofErr w:type="gramEnd"/>
            <w:r>
              <w:rPr>
                <w:rFonts w:asciiTheme="minorHAnsi" w:hAnsiTheme="minorHAnsi" w:cstheme="minorHAnsi"/>
              </w:rPr>
              <w:t xml:space="preserve"> limited re-opening.  This scenario assumes a slightly increased transmission consistent with limited re-opening and congregation of small </w:t>
            </w:r>
            <w:proofErr w:type="gramStart"/>
            <w:r>
              <w:rPr>
                <w:rFonts w:asciiTheme="minorHAnsi" w:hAnsiTheme="minorHAnsi" w:cstheme="minorHAnsi"/>
              </w:rPr>
              <w:t>groups(</w:t>
            </w:r>
            <w:proofErr w:type="gramEnd"/>
            <w:r>
              <w:rPr>
                <w:rFonts w:asciiTheme="minorHAnsi" w:hAnsiTheme="minorHAnsi" w:cstheme="minorHAnsi"/>
              </w:rPr>
              <w:t xml:space="preserve">beta = 0.25). </w:t>
            </w:r>
            <w:r w:rsidR="001C6A26" w:rsidRPr="001C6A26">
              <w:rPr>
                <w:rFonts w:asciiTheme="minorHAnsi" w:eastAsia="Calibri" w:hAnsiTheme="minorHAnsi"/>
              </w:rPr>
              <w:t xml:space="preserve">Assumes </w:t>
            </w:r>
            <w:r>
              <w:rPr>
                <w:rFonts w:asciiTheme="minorHAnsi" w:hAnsiTheme="minorHAnsi" w:cstheme="minorHAnsi"/>
              </w:rPr>
              <w:t>4X undetected</w:t>
            </w:r>
            <w:r w:rsidR="001C6A26" w:rsidRPr="001C6A26">
              <w:rPr>
                <w:rFonts w:asciiTheme="minorHAnsi" w:eastAsia="Calibri" w:hAnsiTheme="minorHAnsi"/>
              </w:rPr>
              <w:t xml:space="preserve"> cases as initial </w:t>
            </w:r>
            <w:r>
              <w:rPr>
                <w:rFonts w:asciiTheme="minorHAnsi" w:hAnsiTheme="minorHAnsi" w:cstheme="minorHAnsi"/>
              </w:rPr>
              <w:t xml:space="preserve">infections.  </w:t>
            </w:r>
            <w:r w:rsidR="001C6A26" w:rsidRPr="001C6A26">
              <w:rPr>
                <w:rFonts w:asciiTheme="minorHAnsi" w:eastAsia="Calibri" w:hAnsiTheme="minorHAnsi"/>
              </w:rPr>
              <w:t xml:space="preserve">Summer effect is modeled by reducing </w:t>
            </w:r>
            <w:r w:rsidR="00F71D7D" w:rsidRPr="00F71D7D">
              <w:rPr>
                <w:rFonts w:asciiTheme="minorHAnsi" w:hAnsiTheme="minorHAnsi" w:cstheme="minorHAnsi"/>
              </w:rPr>
              <w:t>S</w:t>
            </w:r>
            <w:r w:rsidR="001C6A26" w:rsidRPr="001C6A26">
              <w:rPr>
                <w:rFonts w:asciiTheme="minorHAnsi" w:eastAsia="Calibri" w:hAnsiTheme="minorHAnsi"/>
              </w:rPr>
              <w:t xml:space="preserve"> by half on May 15. </w:t>
            </w:r>
            <w:r>
              <w:rPr>
                <w:rFonts w:asciiTheme="minorHAnsi" w:hAnsiTheme="minorHAnsi" w:cstheme="minorHAnsi"/>
              </w:rPr>
              <w:t>Same as scenario 3 with increased transmission.</w:t>
            </w:r>
            <w:r w:rsidR="00C1064B">
              <w:rPr>
                <w:rFonts w:asciiTheme="minorHAnsi" w:hAnsiTheme="minorHAnsi" w:cstheme="minorHAnsi"/>
              </w:rPr>
              <w:t xml:space="preserve"> </w:t>
            </w:r>
          </w:p>
        </w:tc>
      </w:tr>
      <w:tr w:rsidR="00BF3B4F" w14:paraId="313E5E6F" w14:textId="77777777" w:rsidTr="001C6A26">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0" w:type="dxa"/>
            <w:hideMark/>
          </w:tcPr>
          <w:p w14:paraId="0D6F47B2" w14:textId="77777777" w:rsidR="00BF3B4F" w:rsidRPr="001C6A26" w:rsidRDefault="001C6A26">
            <w:pPr>
              <w:rPr>
                <w:rFonts w:asciiTheme="minorHAnsi" w:eastAsia="Calibri" w:hAnsiTheme="minorHAnsi"/>
              </w:rPr>
            </w:pPr>
            <w:r w:rsidRPr="001C6A26">
              <w:rPr>
                <w:rFonts w:asciiTheme="minorHAnsi" w:eastAsia="Calibri" w:hAnsiTheme="minorHAnsi"/>
              </w:rPr>
              <w:t> </w:t>
            </w:r>
          </w:p>
          <w:p w14:paraId="011E1FFB" w14:textId="77777777" w:rsidR="00BF3B4F" w:rsidRPr="001C6A26" w:rsidRDefault="001C6A26">
            <w:pPr>
              <w:rPr>
                <w:rFonts w:asciiTheme="minorHAnsi" w:eastAsia="Calibri" w:hAnsiTheme="minorHAnsi"/>
              </w:rPr>
            </w:pPr>
            <w:r w:rsidRPr="001C6A26">
              <w:rPr>
                <w:rFonts w:asciiTheme="minorHAnsi" w:eastAsia="Calibri" w:hAnsiTheme="minorHAnsi"/>
              </w:rPr>
              <w:t>Scenario 5.</w:t>
            </w:r>
          </w:p>
        </w:tc>
        <w:tc>
          <w:tcPr>
            <w:tcW w:w="0" w:type="dxa"/>
            <w:hideMark/>
          </w:tcPr>
          <w:p w14:paraId="7BBD8904" w14:textId="11362F5E" w:rsidR="00BF3B4F" w:rsidRPr="001C6A26" w:rsidRDefault="00975BD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rPr>
            </w:pPr>
            <w:r w:rsidRPr="00975BD0">
              <w:rPr>
                <w:rFonts w:asciiTheme="minorHAnsi" w:hAnsiTheme="minorHAnsi" w:cstheme="minorHAnsi"/>
                <w:b/>
                <w:bCs/>
              </w:rPr>
              <w:t>Late testing scenario:</w:t>
            </w:r>
            <w:r>
              <w:rPr>
                <w:rFonts w:asciiTheme="minorHAnsi" w:hAnsiTheme="minorHAnsi" w:cstheme="minorHAnsi"/>
              </w:rPr>
              <w:t xml:space="preserve"> Assumes a high number of infectious, undetected cases (11X) that would be consistent</w:t>
            </w:r>
            <w:r w:rsidR="001C6A26" w:rsidRPr="001C6A26">
              <w:rPr>
                <w:rFonts w:asciiTheme="minorHAnsi" w:eastAsia="Calibri" w:hAnsiTheme="minorHAnsi"/>
              </w:rPr>
              <w:t xml:space="preserve"> with </w:t>
            </w:r>
            <w:r>
              <w:rPr>
                <w:rFonts w:asciiTheme="minorHAnsi" w:hAnsiTheme="minorHAnsi" w:cstheme="minorHAnsi"/>
              </w:rPr>
              <w:t>rolling out testing in the middle of a large outbreak (similar to Wuhan</w:t>
            </w:r>
            <w:r w:rsidR="001C6A26" w:rsidRPr="001C6A26">
              <w:rPr>
                <w:rFonts w:asciiTheme="minorHAnsi" w:eastAsia="Calibri" w:hAnsiTheme="minorHAnsi"/>
              </w:rPr>
              <w:t xml:space="preserve"> or </w:t>
            </w:r>
            <w:r>
              <w:rPr>
                <w:rFonts w:asciiTheme="minorHAnsi" w:hAnsiTheme="minorHAnsi" w:cstheme="minorHAnsi"/>
              </w:rPr>
              <w:t xml:space="preserve">Italy).  Current social </w:t>
            </w:r>
            <w:r w:rsidR="001C6A26" w:rsidRPr="001C6A26">
              <w:rPr>
                <w:rFonts w:asciiTheme="minorHAnsi" w:eastAsia="Calibri" w:hAnsiTheme="minorHAnsi"/>
              </w:rPr>
              <w:t>distancing</w:t>
            </w:r>
            <w:r>
              <w:rPr>
                <w:rFonts w:asciiTheme="minorHAnsi" w:hAnsiTheme="minorHAnsi" w:cstheme="minorHAnsi"/>
              </w:rPr>
              <w:t xml:space="preserve"> (beta =0.2).  </w:t>
            </w:r>
            <w:r w:rsidR="004F62C5">
              <w:rPr>
                <w:rFonts w:asciiTheme="minorHAnsi" w:hAnsiTheme="minorHAnsi" w:cstheme="minorHAnsi"/>
              </w:rPr>
              <w:t>Summer effect of</w:t>
            </w:r>
            <w:r w:rsidR="001C6A26" w:rsidRPr="001C6A26">
              <w:rPr>
                <w:rFonts w:asciiTheme="minorHAnsi" w:eastAsia="Calibri" w:hAnsiTheme="minorHAnsi"/>
              </w:rPr>
              <w:t xml:space="preserve"> reduced transmission rate, </w:t>
            </w:r>
            <w:r w:rsidR="00F71D7D" w:rsidRPr="00F71D7D">
              <w:rPr>
                <w:rFonts w:asciiTheme="minorHAnsi" w:hAnsiTheme="minorHAnsi" w:cstheme="minorHAnsi"/>
              </w:rPr>
              <w:t>beta</w:t>
            </w:r>
            <w:r w:rsidR="001C6A26" w:rsidRPr="001C6A26">
              <w:rPr>
                <w:rFonts w:asciiTheme="minorHAnsi" w:eastAsia="Calibri" w:hAnsiTheme="minorHAnsi"/>
              </w:rPr>
              <w:t xml:space="preserve"> to 0.</w:t>
            </w:r>
            <w:r w:rsidR="004F62C5">
              <w:rPr>
                <w:rFonts w:asciiTheme="minorHAnsi" w:hAnsiTheme="minorHAnsi" w:cstheme="minorHAnsi"/>
              </w:rPr>
              <w:t>10</w:t>
            </w:r>
            <w:r w:rsidR="001C6A26" w:rsidRPr="001C6A26">
              <w:rPr>
                <w:rFonts w:asciiTheme="minorHAnsi" w:eastAsia="Calibri" w:hAnsiTheme="minorHAnsi"/>
              </w:rPr>
              <w:t xml:space="preserve"> after May 15.  </w:t>
            </w:r>
          </w:p>
        </w:tc>
      </w:tr>
    </w:tbl>
    <w:p w14:paraId="40B990A1" w14:textId="77777777" w:rsidR="00BF3B4F" w:rsidRPr="001C6A26" w:rsidRDefault="00BF3B4F">
      <w:pPr>
        <w:rPr>
          <w:rFonts w:asciiTheme="minorHAnsi" w:eastAsia="Calibri" w:hAnsiTheme="minorHAnsi"/>
        </w:rPr>
      </w:pPr>
    </w:p>
    <w:p w14:paraId="29EE5532" w14:textId="77777777" w:rsidR="00BF3B4F" w:rsidRPr="001C6A26" w:rsidRDefault="00BF3B4F">
      <w:pPr>
        <w:rPr>
          <w:rFonts w:asciiTheme="minorHAnsi" w:eastAsia="Calibri" w:hAnsiTheme="minorHAnsi"/>
        </w:rPr>
      </w:pPr>
    </w:p>
    <w:p w14:paraId="635BBCA4" w14:textId="6C9EDC5D" w:rsidR="00BF3B4F" w:rsidRPr="001C6A26" w:rsidRDefault="001C6A26">
      <w:pPr>
        <w:rPr>
          <w:rFonts w:asciiTheme="minorHAnsi" w:eastAsia="Calibri" w:hAnsiTheme="minorHAnsi"/>
        </w:rPr>
      </w:pPr>
      <w:r w:rsidRPr="001C6A26">
        <w:rPr>
          <w:rFonts w:asciiTheme="minorHAnsi" w:eastAsia="Calibri" w:hAnsiTheme="minorHAnsi"/>
        </w:rPr>
        <w:t xml:space="preserve">The current transmission rate, </w:t>
      </w:r>
      <w:r w:rsidR="004F62C5">
        <w:rPr>
          <w:rFonts w:asciiTheme="minorHAnsi" w:hAnsiTheme="minorHAnsi" w:cstheme="minorHAnsi"/>
        </w:rPr>
        <w:sym w:font="Symbol" w:char="F062"/>
      </w:r>
      <w:r w:rsidRPr="001C6A26">
        <w:rPr>
          <w:rFonts w:asciiTheme="minorHAnsi" w:eastAsia="Calibri" w:hAnsiTheme="minorHAnsi"/>
        </w:rPr>
        <w:t xml:space="preserve"> is a result of the social distancing measures taken all across the state. It is perfectly possible that the social distancing measures resulted in a lower transmission rate (i.e., </w:t>
      </w:r>
      <w:r w:rsidR="00450701">
        <w:rPr>
          <w:rFonts w:asciiTheme="minorHAnsi" w:hAnsiTheme="minorHAnsi" w:cstheme="minorHAnsi"/>
        </w:rPr>
        <w:sym w:font="Symbol" w:char="F062"/>
      </w:r>
      <w:r w:rsidR="00450701">
        <w:rPr>
          <w:rFonts w:asciiTheme="minorHAnsi" w:hAnsiTheme="minorHAnsi" w:cstheme="minorHAnsi"/>
        </w:rPr>
        <w:t>=</w:t>
      </w:r>
      <w:r w:rsidRPr="001C6A26">
        <w:rPr>
          <w:rFonts w:asciiTheme="minorHAnsi" w:eastAsia="Calibri" w:hAnsiTheme="minorHAnsi"/>
        </w:rPr>
        <w:t>0.</w:t>
      </w:r>
      <w:r w:rsidR="004F62C5">
        <w:rPr>
          <w:rFonts w:asciiTheme="minorHAnsi" w:hAnsiTheme="minorHAnsi" w:cstheme="minorHAnsi"/>
        </w:rPr>
        <w:t>1</w:t>
      </w:r>
      <w:r w:rsidR="00450701">
        <w:rPr>
          <w:rFonts w:asciiTheme="minorHAnsi" w:hAnsiTheme="minorHAnsi" w:cstheme="minorHAnsi"/>
        </w:rPr>
        <w:t>5</w:t>
      </w:r>
      <w:r w:rsidRPr="001C6A26">
        <w:rPr>
          <w:rFonts w:asciiTheme="minorHAnsi" w:eastAsia="Calibri" w:hAnsiTheme="minorHAnsi"/>
        </w:rPr>
        <w:t xml:space="preserve">). While that results in a lower number of people getting infected, we should note that this also means that after the social distancing measures are relaxed, and transmission rate is higher than this current transmission rate, due to the fact that there is a large number of remaining susceptible individuals in the population, we may get a second wave of infections. </w:t>
      </w:r>
    </w:p>
    <w:p w14:paraId="5160C5C8" w14:textId="77777777" w:rsidR="00BF3B4F" w:rsidRPr="001C6A26" w:rsidRDefault="00BF3B4F">
      <w:pPr>
        <w:rPr>
          <w:rFonts w:asciiTheme="minorHAnsi" w:eastAsia="Calibri" w:hAnsiTheme="minorHAnsi"/>
        </w:rPr>
      </w:pPr>
    </w:p>
    <w:p w14:paraId="65F046BC" w14:textId="0532C722" w:rsidR="00BF3B4F" w:rsidRPr="001C6A26" w:rsidRDefault="001C6A26">
      <w:pPr>
        <w:rPr>
          <w:rFonts w:asciiTheme="minorHAnsi" w:eastAsia="Calibri" w:hAnsiTheme="minorHAnsi"/>
        </w:rPr>
      </w:pPr>
      <w:r w:rsidRPr="001C6A26">
        <w:rPr>
          <w:rFonts w:asciiTheme="minorHAnsi" w:eastAsia="Calibri" w:hAnsiTheme="minorHAnsi"/>
        </w:rPr>
        <w:t xml:space="preserve">Figure </w:t>
      </w:r>
      <w:r w:rsidR="00DA02C5">
        <w:rPr>
          <w:rFonts w:asciiTheme="minorHAnsi" w:hAnsiTheme="minorHAnsi" w:cstheme="minorHAnsi"/>
        </w:rPr>
        <w:t>7</w:t>
      </w:r>
      <w:r w:rsidRPr="001C6A26">
        <w:rPr>
          <w:rFonts w:asciiTheme="minorHAnsi" w:eastAsia="Calibri" w:hAnsiTheme="minorHAnsi"/>
        </w:rPr>
        <w:t xml:space="preserve"> presents projections for the total number of </w:t>
      </w:r>
      <w:r w:rsidR="00C1064B">
        <w:rPr>
          <w:rFonts w:asciiTheme="minorHAnsi" w:hAnsiTheme="minorHAnsi" w:cstheme="minorHAnsi"/>
        </w:rPr>
        <w:t xml:space="preserve">confirmed </w:t>
      </w:r>
      <w:r w:rsidRPr="001C6A26">
        <w:rPr>
          <w:rFonts w:asciiTheme="minorHAnsi" w:eastAsia="Calibri" w:hAnsiTheme="minorHAnsi"/>
        </w:rPr>
        <w:t xml:space="preserve">infected individuals under each scenario. Note that the total infected projection includes individuals who are asymptomatic or </w:t>
      </w:r>
      <w:r w:rsidR="00C1064B">
        <w:rPr>
          <w:rFonts w:asciiTheme="minorHAnsi" w:hAnsiTheme="minorHAnsi" w:cstheme="minorHAnsi"/>
        </w:rPr>
        <w:t>pre-symptomatic</w:t>
      </w:r>
      <w:r w:rsidRPr="001C6A26">
        <w:rPr>
          <w:rFonts w:asciiTheme="minorHAnsi" w:eastAsia="Calibri" w:hAnsiTheme="minorHAnsi"/>
        </w:rPr>
        <w:t xml:space="preserve"> on a given day</w:t>
      </w:r>
      <w:r w:rsidR="00C1064B">
        <w:rPr>
          <w:rFonts w:asciiTheme="minorHAnsi" w:hAnsiTheme="minorHAnsi" w:cstheme="minorHAnsi"/>
        </w:rPr>
        <w:t xml:space="preserve"> at</w:t>
      </w:r>
      <w:r w:rsidRPr="001C6A26">
        <w:rPr>
          <w:rFonts w:asciiTheme="minorHAnsi" w:eastAsia="Calibri" w:hAnsiTheme="minorHAnsi"/>
        </w:rPr>
        <w:t xml:space="preserve"> the </w:t>
      </w:r>
      <w:r w:rsidR="00C1064B">
        <w:rPr>
          <w:rFonts w:asciiTheme="minorHAnsi" w:hAnsiTheme="minorHAnsi" w:cstheme="minorHAnsi"/>
        </w:rPr>
        <w:t>testing rate assumed for</w:t>
      </w:r>
      <w:r w:rsidRPr="001C6A26">
        <w:rPr>
          <w:rFonts w:asciiTheme="minorHAnsi" w:eastAsia="Calibri" w:hAnsiTheme="minorHAnsi"/>
        </w:rPr>
        <w:t xml:space="preserve"> each </w:t>
      </w:r>
      <w:r w:rsidR="00C1064B">
        <w:rPr>
          <w:rFonts w:asciiTheme="minorHAnsi" w:hAnsiTheme="minorHAnsi" w:cstheme="minorHAnsi"/>
        </w:rPr>
        <w:t>scenario</w:t>
      </w:r>
      <w:r w:rsidRPr="001C6A26">
        <w:rPr>
          <w:rFonts w:asciiTheme="minorHAnsi" w:eastAsia="Calibri" w:hAnsiTheme="minorHAnsi"/>
        </w:rPr>
        <w:t xml:space="preserve">. </w:t>
      </w:r>
    </w:p>
    <w:p w14:paraId="4DD68A2A" w14:textId="77777777" w:rsidR="00BF3B4F" w:rsidRPr="001C6A26" w:rsidRDefault="00BF3B4F">
      <w:pPr>
        <w:rPr>
          <w:rFonts w:asciiTheme="minorHAnsi" w:eastAsia="Calibri" w:hAnsiTheme="minorHAnsi"/>
        </w:rPr>
      </w:pPr>
    </w:p>
    <w:p w14:paraId="612E57DB" w14:textId="77777777" w:rsidR="00DA02C5" w:rsidRDefault="001C6A26" w:rsidP="00C1064B">
      <w:pPr>
        <w:rPr>
          <w:rFonts w:asciiTheme="minorHAnsi" w:hAnsiTheme="minorHAnsi" w:cstheme="minorHAnsi"/>
        </w:rPr>
      </w:pPr>
      <w:r w:rsidRPr="001C6A26">
        <w:rPr>
          <w:rFonts w:asciiTheme="minorHAnsi" w:eastAsia="Calibri" w:hAnsiTheme="minorHAnsi"/>
        </w:rPr>
        <w:t xml:space="preserve">A major determinant of the peak time in our models is summer effects by reducing the transmission rate by one half.  In the coming weeks, we will be monitoring data and literature to modify this assumption as needed. </w:t>
      </w:r>
      <w:r w:rsidR="00DA02C5">
        <w:rPr>
          <w:rFonts w:asciiTheme="minorHAnsi" w:hAnsiTheme="minorHAnsi" w:cstheme="minorHAnsi"/>
        </w:rPr>
        <w:t>In Figure 7, we present projections under each scenario. The peak is hit around mid-May according to our model, which is dependent on summer effects originating around May 15.</w:t>
      </w:r>
    </w:p>
    <w:p w14:paraId="49ED656B" w14:textId="77777777" w:rsidR="00C1064B" w:rsidRDefault="00C1064B" w:rsidP="00C1064B">
      <w:pPr>
        <w:rPr>
          <w:rFonts w:asciiTheme="minorHAnsi" w:hAnsiTheme="minorHAnsi" w:cstheme="minorHAnsi"/>
        </w:rPr>
      </w:pPr>
    </w:p>
    <w:p w14:paraId="33589330" w14:textId="77777777" w:rsidR="00C1064B" w:rsidRPr="00853A92" w:rsidRDefault="00C1064B" w:rsidP="00C1064B">
      <w:pPr>
        <w:rPr>
          <w:rFonts w:asciiTheme="minorHAnsi" w:hAnsiTheme="minorHAnsi" w:cstheme="minorHAnsi"/>
        </w:rPr>
      </w:pPr>
      <w:r>
        <w:rPr>
          <w:noProof/>
        </w:rPr>
        <w:lastRenderedPageBreak/>
        <w:drawing>
          <wp:inline distT="0" distB="0" distL="0" distR="0" wp14:anchorId="0F7A13F1" wp14:editId="595BBADF">
            <wp:extent cx="5943600" cy="3917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9179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C1064B" w14:paraId="3A3A1CBC" w14:textId="77777777" w:rsidTr="00176790">
        <w:tc>
          <w:tcPr>
            <w:tcW w:w="4675" w:type="dxa"/>
          </w:tcPr>
          <w:p w14:paraId="68135FB1" w14:textId="77777777" w:rsidR="00C1064B" w:rsidRDefault="00C1064B" w:rsidP="00176790">
            <w:pPr>
              <w:jc w:val="center"/>
              <w:rPr>
                <w:rFonts w:asciiTheme="minorHAnsi" w:hAnsiTheme="minorHAnsi" w:cstheme="minorHAnsi"/>
              </w:rPr>
            </w:pPr>
          </w:p>
        </w:tc>
        <w:tc>
          <w:tcPr>
            <w:tcW w:w="4675" w:type="dxa"/>
          </w:tcPr>
          <w:p w14:paraId="4A4AFF8A" w14:textId="77777777" w:rsidR="00C1064B" w:rsidRDefault="00C1064B" w:rsidP="00176790">
            <w:pPr>
              <w:keepNext/>
              <w:rPr>
                <w:rFonts w:asciiTheme="minorHAnsi" w:hAnsiTheme="minorHAnsi" w:cstheme="minorHAnsi"/>
              </w:rPr>
            </w:pPr>
          </w:p>
        </w:tc>
      </w:tr>
    </w:tbl>
    <w:p w14:paraId="626D3CB3" w14:textId="77777777" w:rsidR="00C1064B" w:rsidRPr="002029D3" w:rsidRDefault="00C1064B" w:rsidP="00C1064B">
      <w:pPr>
        <w:pStyle w:val="Caption"/>
        <w:rPr>
          <w:rFonts w:cstheme="minorHAnsi"/>
          <w:sz w:val="22"/>
        </w:rPr>
      </w:pPr>
      <w:r w:rsidRPr="002029D3">
        <w:rPr>
          <w:sz w:val="22"/>
        </w:rPr>
        <w:t>Figure</w:t>
      </w:r>
      <w:r>
        <w:rPr>
          <w:sz w:val="22"/>
        </w:rPr>
        <w:t xml:space="preserve"> </w:t>
      </w:r>
      <w:r w:rsidR="00424A17">
        <w:rPr>
          <w:sz w:val="22"/>
        </w:rPr>
        <w:t>7</w:t>
      </w:r>
      <w:r w:rsidRPr="002029D3">
        <w:rPr>
          <w:sz w:val="22"/>
        </w:rPr>
        <w:t>. Total number of infected</w:t>
      </w:r>
      <w:r>
        <w:rPr>
          <w:sz w:val="22"/>
        </w:rPr>
        <w:t xml:space="preserve"> persons for each scenario.</w:t>
      </w:r>
    </w:p>
    <w:p w14:paraId="2F1CF14D" w14:textId="77777777" w:rsidR="00BF3B4F" w:rsidRPr="001C6A26" w:rsidRDefault="00BF3B4F">
      <w:pPr>
        <w:rPr>
          <w:rFonts w:asciiTheme="minorHAnsi" w:eastAsia="Calibri" w:hAnsiTheme="minorHAnsi"/>
        </w:rPr>
      </w:pPr>
    </w:p>
    <w:p w14:paraId="3BD63371" w14:textId="77777777" w:rsidR="00F701DF" w:rsidRDefault="001C6A26" w:rsidP="00F701DF">
      <w:pPr>
        <w:rPr>
          <w:rFonts w:asciiTheme="minorHAnsi" w:hAnsiTheme="minorHAnsi" w:cstheme="minorHAnsi"/>
        </w:rPr>
      </w:pPr>
      <w:r w:rsidRPr="001C6A26">
        <w:rPr>
          <w:rFonts w:asciiTheme="minorHAnsi" w:eastAsia="Calibri" w:hAnsiTheme="minorHAnsi"/>
        </w:rPr>
        <w:t xml:space="preserve">The projections produced by the model under each of the five scenarios are presented in Figure </w:t>
      </w:r>
      <w:r w:rsidR="00424A17">
        <w:rPr>
          <w:rFonts w:asciiTheme="minorHAnsi" w:hAnsiTheme="minorHAnsi" w:cstheme="minorHAnsi"/>
        </w:rPr>
        <w:t>7</w:t>
      </w:r>
      <w:r w:rsidR="007A4237">
        <w:rPr>
          <w:rFonts w:asciiTheme="minorHAnsi" w:hAnsiTheme="minorHAnsi" w:cstheme="minorHAnsi"/>
        </w:rPr>
        <w:t>.</w:t>
      </w:r>
      <w:r w:rsidR="00C1064B">
        <w:rPr>
          <w:rFonts w:asciiTheme="minorHAnsi" w:hAnsiTheme="minorHAnsi" w:cstheme="minorHAnsi"/>
        </w:rPr>
        <w:t xml:space="preserve">  Scenarios 4 and 5 are based on assumptions that are likely to be untrue: specifically, that there is a very high level of undetected disease currently transmitting and that re-opening will occur even if it causes transmission to increase significantly.</w:t>
      </w:r>
    </w:p>
    <w:p w14:paraId="23805570" w14:textId="77777777" w:rsidR="00424A17" w:rsidRDefault="00424A17" w:rsidP="00F701DF">
      <w:pPr>
        <w:rPr>
          <w:rFonts w:asciiTheme="minorHAnsi" w:hAnsiTheme="minorHAnsi" w:cstheme="minorHAnsi"/>
        </w:rPr>
      </w:pPr>
    </w:p>
    <w:p w14:paraId="0D5A65EF" w14:textId="77777777" w:rsidR="00424A17" w:rsidRPr="00853A92" w:rsidRDefault="00424A17" w:rsidP="00F701DF">
      <w:pPr>
        <w:rPr>
          <w:rFonts w:asciiTheme="minorHAnsi" w:hAnsiTheme="minorHAnsi" w:cstheme="minorHAnsi"/>
        </w:rPr>
      </w:pPr>
      <w:r>
        <w:rPr>
          <w:rFonts w:asciiTheme="minorHAnsi" w:hAnsiTheme="minorHAnsi" w:cstheme="minorHAnsi"/>
        </w:rPr>
        <w:t xml:space="preserve">Figure 8 compiles the scenarios into a </w:t>
      </w:r>
      <w:proofErr w:type="gramStart"/>
      <w:r>
        <w:rPr>
          <w:rFonts w:asciiTheme="minorHAnsi" w:hAnsiTheme="minorHAnsi" w:cstheme="minorHAnsi"/>
        </w:rPr>
        <w:t>feasible estimates</w:t>
      </w:r>
      <w:proofErr w:type="gramEnd"/>
      <w:r>
        <w:rPr>
          <w:rFonts w:asciiTheme="minorHAnsi" w:hAnsiTheme="minorHAnsi" w:cstheme="minorHAnsi"/>
        </w:rPr>
        <w:t xml:space="preserve"> for ongoing COVID-19 infections.  The shaded blue area under the curve represents the range of infections that we can anticipate under current restrictions based on current rates of disease.  The area in gray represents potential infections from scenarios that have a very high rate of undetected transmission and cases that relax social distancing for example under a re-opening scenario.  </w:t>
      </w:r>
    </w:p>
    <w:p w14:paraId="600536CC" w14:textId="77777777" w:rsidR="00424A17" w:rsidRDefault="00C1064B" w:rsidP="00424A17">
      <w:pPr>
        <w:keepNext/>
      </w:pPr>
      <w:r>
        <w:rPr>
          <w:rFonts w:asciiTheme="minorHAnsi" w:hAnsiTheme="minorHAnsi" w:cstheme="minorHAnsi"/>
        </w:rPr>
        <w:lastRenderedPageBreak/>
        <w:br/>
      </w:r>
      <w:r>
        <w:rPr>
          <w:noProof/>
        </w:rPr>
        <w:drawing>
          <wp:inline distT="0" distB="0" distL="0" distR="0" wp14:anchorId="2E89D230" wp14:editId="785135CE">
            <wp:extent cx="5943600" cy="4041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041775"/>
                    </a:xfrm>
                    <a:prstGeom prst="rect">
                      <a:avLst/>
                    </a:prstGeom>
                  </pic:spPr>
                </pic:pic>
              </a:graphicData>
            </a:graphic>
          </wp:inline>
        </w:drawing>
      </w:r>
    </w:p>
    <w:p w14:paraId="43141A0F" w14:textId="77777777" w:rsidR="00F701DF" w:rsidRDefault="00424A17" w:rsidP="00424A17">
      <w:pPr>
        <w:pStyle w:val="Caption"/>
        <w:rPr>
          <w:rFonts w:cstheme="minorHAnsi"/>
        </w:rPr>
      </w:pPr>
      <w:r>
        <w:t xml:space="preserve">Figure </w:t>
      </w:r>
      <w:r w:rsidR="00171B77">
        <w:fldChar w:fldCharType="begin"/>
      </w:r>
      <w:r w:rsidR="00171B77">
        <w:instrText xml:space="preserve"> SEQ Figure \* ARABIC </w:instrText>
      </w:r>
      <w:r w:rsidR="00171B77">
        <w:fldChar w:fldCharType="separate"/>
      </w:r>
      <w:r w:rsidR="0044282C">
        <w:rPr>
          <w:noProof/>
        </w:rPr>
        <w:t>8</w:t>
      </w:r>
      <w:r w:rsidR="00171B77">
        <w:rPr>
          <w:noProof/>
        </w:rPr>
        <w:fldChar w:fldCharType="end"/>
      </w:r>
      <w:r>
        <w:t>: Estimates for infections with Low and High efficacy of non-pharmaceutical interventions.</w:t>
      </w:r>
    </w:p>
    <w:p w14:paraId="75388524" w14:textId="77777777" w:rsidR="00C1064B" w:rsidRDefault="00C1064B" w:rsidP="00F701DF">
      <w:pPr>
        <w:rPr>
          <w:rFonts w:asciiTheme="minorHAnsi" w:hAnsiTheme="minorHAnsi" w:cstheme="minorHAnsi"/>
        </w:rPr>
      </w:pPr>
    </w:p>
    <w:p w14:paraId="1458B22A" w14:textId="77777777" w:rsidR="00C1064B" w:rsidRDefault="00C1064B" w:rsidP="00F701DF">
      <w:pPr>
        <w:rPr>
          <w:rFonts w:asciiTheme="minorHAnsi" w:hAnsiTheme="minorHAnsi" w:cstheme="minorHAnsi"/>
        </w:rPr>
      </w:pPr>
    </w:p>
    <w:p w14:paraId="29B7A0F1" w14:textId="77777777" w:rsidR="00C1064B" w:rsidRPr="00853A92" w:rsidRDefault="00C1064B" w:rsidP="00F701DF">
      <w:pPr>
        <w:rPr>
          <w:rFonts w:asciiTheme="minorHAnsi" w:hAnsiTheme="minorHAnsi" w:cstheme="minorHAnsi"/>
        </w:rPr>
      </w:pPr>
    </w:p>
    <w:p w14:paraId="04A6136C" w14:textId="77777777" w:rsidR="007A4237" w:rsidRDefault="00D73E09" w:rsidP="002029D3">
      <w:pPr>
        <w:keepNext/>
        <w:jc w:val="center"/>
      </w:pPr>
      <w:r>
        <w:rPr>
          <w:noProof/>
        </w:rPr>
        <w:lastRenderedPageBreak/>
        <w:drawing>
          <wp:inline distT="0" distB="0" distL="0" distR="0" wp14:anchorId="5E8A0CC8" wp14:editId="711932B0">
            <wp:extent cx="5943600" cy="37287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728720"/>
                    </a:xfrm>
                    <a:prstGeom prst="rect">
                      <a:avLst/>
                    </a:prstGeom>
                  </pic:spPr>
                </pic:pic>
              </a:graphicData>
            </a:graphic>
          </wp:inline>
        </w:drawing>
      </w:r>
    </w:p>
    <w:p w14:paraId="0515FB9F" w14:textId="77777777" w:rsidR="00CF0E1D" w:rsidRDefault="007A4237">
      <w:pPr>
        <w:rPr>
          <w:rFonts w:ascii="Calibri" w:eastAsia="Calibri" w:hAnsi="Calibri" w:cs="Calibri"/>
          <w:noProof/>
        </w:rPr>
      </w:pPr>
      <w:r w:rsidRPr="002029D3">
        <w:t xml:space="preserve">Figure </w:t>
      </w:r>
      <w:r w:rsidR="00171B77">
        <w:fldChar w:fldCharType="begin"/>
      </w:r>
      <w:r w:rsidR="00171B77">
        <w:instrText xml:space="preserve"> SEQ Figure \* ARABIC </w:instrText>
      </w:r>
      <w:r w:rsidR="00171B77">
        <w:fldChar w:fldCharType="separate"/>
      </w:r>
      <w:r w:rsidR="0044282C">
        <w:rPr>
          <w:noProof/>
        </w:rPr>
        <w:t>9</w:t>
      </w:r>
      <w:r w:rsidR="00171B77">
        <w:rPr>
          <w:noProof/>
        </w:rPr>
        <w:fldChar w:fldCharType="end"/>
      </w:r>
      <w:r w:rsidRPr="002029D3">
        <w:t>.</w:t>
      </w:r>
    </w:p>
    <w:p w14:paraId="3762A741" w14:textId="77777777" w:rsidR="00BF3B4F" w:rsidRPr="001C6A26" w:rsidRDefault="001C6A26" w:rsidP="001C6A26">
      <w:pPr>
        <w:pStyle w:val="Caption"/>
        <w:jc w:val="center"/>
      </w:pPr>
      <w:r w:rsidRPr="001C6A26">
        <w:rPr>
          <w:sz w:val="24"/>
        </w:rPr>
        <w:t xml:space="preserve"> The number of deaths projected under each scenario.</w:t>
      </w:r>
    </w:p>
    <w:p w14:paraId="5EB72DB2" w14:textId="77777777" w:rsidR="00F701DF" w:rsidRPr="00853A92" w:rsidRDefault="00424A17" w:rsidP="00F701DF">
      <w:pPr>
        <w:rPr>
          <w:rFonts w:asciiTheme="minorHAnsi" w:hAnsiTheme="minorHAnsi" w:cstheme="minorHAnsi"/>
        </w:rPr>
      </w:pPr>
      <w:r>
        <w:rPr>
          <w:rFonts w:asciiTheme="minorHAnsi" w:hAnsiTheme="minorHAnsi" w:cstheme="minorHAnsi"/>
        </w:rPr>
        <w:t xml:space="preserve">Deaths are handled similarly in the model.  (Figure 9).  </w:t>
      </w:r>
    </w:p>
    <w:p w14:paraId="3460F1A3" w14:textId="77777777" w:rsidR="00424A17" w:rsidRDefault="00424A17">
      <w:pPr>
        <w:rPr>
          <w:rFonts w:asciiTheme="minorHAnsi" w:hAnsiTheme="minorHAnsi" w:cstheme="minorHAnsi"/>
        </w:rPr>
      </w:pPr>
    </w:p>
    <w:p w14:paraId="6C253230" w14:textId="6B6ECBAD" w:rsidR="00CF0E1D" w:rsidRDefault="00424A17">
      <w:pPr>
        <w:rPr>
          <w:rFonts w:ascii="Calibri" w:eastAsia="Calibri" w:hAnsi="Calibri" w:cs="Calibri"/>
          <w:noProof/>
        </w:rPr>
      </w:pPr>
      <w:r>
        <w:rPr>
          <w:rFonts w:asciiTheme="minorHAnsi" w:hAnsiTheme="minorHAnsi" w:cstheme="minorHAnsi"/>
        </w:rPr>
        <w:t>Figure 1</w:t>
      </w:r>
      <w:r w:rsidR="007E0892">
        <w:rPr>
          <w:rFonts w:asciiTheme="minorHAnsi" w:hAnsiTheme="minorHAnsi" w:cstheme="minorHAnsi"/>
        </w:rPr>
        <w:t>0</w:t>
      </w:r>
      <w:r>
        <w:rPr>
          <w:rFonts w:asciiTheme="minorHAnsi" w:hAnsiTheme="minorHAnsi" w:cstheme="minorHAnsi"/>
        </w:rPr>
        <w:t xml:space="preserve"> identifies ranges for mortality from COVID-19 between April 8 and July 31</w:t>
      </w:r>
      <w:r w:rsidR="00497983">
        <w:rPr>
          <w:rFonts w:asciiTheme="minorHAnsi" w:hAnsiTheme="minorHAnsi" w:cstheme="minorHAnsi"/>
        </w:rPr>
        <w:t>, 2020</w:t>
      </w:r>
      <w:r>
        <w:rPr>
          <w:rFonts w:asciiTheme="minorHAnsi" w:hAnsiTheme="minorHAnsi" w:cstheme="minorHAnsi"/>
        </w:rPr>
        <w:t>.</w:t>
      </w:r>
    </w:p>
    <w:p w14:paraId="6A034575" w14:textId="254DB0B6" w:rsidR="00BF3B4F" w:rsidRPr="001C6A26" w:rsidRDefault="001C6A26">
      <w:pPr>
        <w:rPr>
          <w:rFonts w:asciiTheme="minorHAnsi" w:eastAsia="Calibri" w:hAnsiTheme="minorHAnsi"/>
        </w:rPr>
      </w:pPr>
      <w:r w:rsidRPr="001C6A26">
        <w:rPr>
          <w:rFonts w:asciiTheme="minorHAnsi" w:eastAsia="Calibri" w:hAnsiTheme="minorHAnsi"/>
        </w:rPr>
        <w:t xml:space="preserve">We identify scenarios that have increased transmission due to a large number of unidentified individuals and/or have a higher rate of transmission that can sustain community spread.  These estimates are conditionally predictive – meaning that if events unfold according to the assumptions of the model, they are plausible outcomes based on the known science. </w:t>
      </w:r>
    </w:p>
    <w:p w14:paraId="1A8C9A9C" w14:textId="77777777" w:rsidR="00BF3B4F" w:rsidRPr="001C6A26" w:rsidRDefault="00BF3B4F">
      <w:pPr>
        <w:rPr>
          <w:rFonts w:asciiTheme="minorHAnsi" w:eastAsia="Calibri" w:hAnsiTheme="minorHAnsi"/>
        </w:rPr>
      </w:pPr>
    </w:p>
    <w:p w14:paraId="1F1404E0" w14:textId="77777777" w:rsidR="00424A17" w:rsidRDefault="00424A17" w:rsidP="0044282C">
      <w:pPr>
        <w:keepNext/>
        <w:jc w:val="center"/>
      </w:pPr>
      <w:r w:rsidRPr="00424A17">
        <w:rPr>
          <w:noProof/>
        </w:rPr>
        <w:drawing>
          <wp:inline distT="0" distB="0" distL="0" distR="0" wp14:anchorId="06C46693" wp14:editId="379FB6E5">
            <wp:extent cx="3416300" cy="1663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6300" cy="1663700"/>
                    </a:xfrm>
                    <a:prstGeom prst="rect">
                      <a:avLst/>
                    </a:prstGeom>
                  </pic:spPr>
                </pic:pic>
              </a:graphicData>
            </a:graphic>
          </wp:inline>
        </w:drawing>
      </w:r>
    </w:p>
    <w:p w14:paraId="5E0BD3AC" w14:textId="77777777" w:rsidR="00424A17" w:rsidRDefault="00424A17" w:rsidP="00424A17">
      <w:pPr>
        <w:pStyle w:val="Caption"/>
        <w:rPr>
          <w:rFonts w:cstheme="minorHAnsi"/>
        </w:rPr>
      </w:pPr>
      <w:r>
        <w:t xml:space="preserve">Figure </w:t>
      </w:r>
      <w:r w:rsidR="00171B77">
        <w:fldChar w:fldCharType="begin"/>
      </w:r>
      <w:r w:rsidR="00171B77">
        <w:instrText xml:space="preserve"> SEQ Figure \* ARABIC </w:instrText>
      </w:r>
      <w:r w:rsidR="00171B77">
        <w:fldChar w:fldCharType="separate"/>
      </w:r>
      <w:r w:rsidR="0044282C">
        <w:rPr>
          <w:noProof/>
        </w:rPr>
        <w:t>10</w:t>
      </w:r>
      <w:r w:rsidR="00171B77">
        <w:rPr>
          <w:noProof/>
        </w:rPr>
        <w:fldChar w:fldCharType="end"/>
      </w:r>
      <w:r>
        <w:t>: mortality ranges</w:t>
      </w:r>
    </w:p>
    <w:p w14:paraId="626A03E6" w14:textId="77777777" w:rsidR="00BF3B4F" w:rsidRPr="001C6A26" w:rsidRDefault="00BF3B4F">
      <w:pPr>
        <w:rPr>
          <w:rFonts w:asciiTheme="minorHAnsi" w:eastAsia="Calibri" w:hAnsiTheme="minorHAnsi"/>
        </w:rPr>
      </w:pPr>
    </w:p>
    <w:p w14:paraId="18247D14" w14:textId="1F585AEA" w:rsidR="00BF3B4F" w:rsidRPr="001C6A26" w:rsidRDefault="001C6A26">
      <w:pPr>
        <w:rPr>
          <w:rFonts w:asciiTheme="minorHAnsi" w:eastAsia="Calibri" w:hAnsiTheme="minorHAnsi"/>
        </w:rPr>
      </w:pPr>
      <w:r w:rsidRPr="001C6A26">
        <w:rPr>
          <w:rFonts w:asciiTheme="minorHAnsi" w:eastAsia="Calibri" w:hAnsiTheme="minorHAnsi"/>
        </w:rPr>
        <w:lastRenderedPageBreak/>
        <w:t xml:space="preserve">A critical quantity to project is the number of hospitalizations due to COVID-19. Due to the fact that we have different bins to track the number of patients in the hospital in the AZ SEIR Model1, we can obtain separate projections for the number that are hospitalized over time. </w:t>
      </w:r>
      <w:r w:rsidR="00A10E34">
        <w:rPr>
          <w:rFonts w:asciiTheme="minorHAnsi" w:hAnsiTheme="minorHAnsi" w:cstheme="minorHAnsi"/>
        </w:rPr>
        <w:t>In</w:t>
      </w:r>
      <w:r w:rsidRPr="001C6A26">
        <w:rPr>
          <w:rFonts w:asciiTheme="minorHAnsi" w:eastAsia="Calibri" w:hAnsiTheme="minorHAnsi"/>
        </w:rPr>
        <w:t xml:space="preserve"> </w:t>
      </w:r>
    </w:p>
    <w:p w14:paraId="5C731CC6" w14:textId="77777777" w:rsidR="00A10E34" w:rsidRDefault="00A10E34" w:rsidP="002029D3">
      <w:pPr>
        <w:keepNext/>
        <w:jc w:val="center"/>
      </w:pPr>
    </w:p>
    <w:p w14:paraId="4723BF55" w14:textId="77777777" w:rsidR="00C1064B" w:rsidRDefault="00C1064B" w:rsidP="002029D3">
      <w:pPr>
        <w:keepNext/>
        <w:jc w:val="center"/>
      </w:pPr>
    </w:p>
    <w:p w14:paraId="416FECD5" w14:textId="77777777" w:rsidR="00C1064B" w:rsidRDefault="00497983" w:rsidP="002029D3">
      <w:pPr>
        <w:keepNext/>
        <w:jc w:val="center"/>
      </w:pPr>
      <w:r>
        <w:rPr>
          <w:noProof/>
        </w:rPr>
        <w:drawing>
          <wp:inline distT="0" distB="0" distL="0" distR="0" wp14:anchorId="7DDD6FC2" wp14:editId="33155126">
            <wp:extent cx="5943600" cy="39484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948430"/>
                    </a:xfrm>
                    <a:prstGeom prst="rect">
                      <a:avLst/>
                    </a:prstGeom>
                  </pic:spPr>
                </pic:pic>
              </a:graphicData>
            </a:graphic>
          </wp:inline>
        </w:drawing>
      </w:r>
    </w:p>
    <w:p w14:paraId="6BC23EFF" w14:textId="148C893B" w:rsidR="00BF3B4F" w:rsidRPr="001C6A26" w:rsidRDefault="001C6A26" w:rsidP="001C6A26">
      <w:pPr>
        <w:pStyle w:val="Caption"/>
        <w:jc w:val="center"/>
        <w:rPr>
          <w:sz w:val="22"/>
        </w:rPr>
      </w:pPr>
      <w:r w:rsidRPr="001C6A26">
        <w:rPr>
          <w:sz w:val="22"/>
        </w:rPr>
        <w:t xml:space="preserve">Figure </w:t>
      </w:r>
      <w:r w:rsidR="00A10E34" w:rsidRPr="002029D3">
        <w:rPr>
          <w:sz w:val="22"/>
        </w:rPr>
        <w:fldChar w:fldCharType="begin"/>
      </w:r>
      <w:r w:rsidR="00A10E34" w:rsidRPr="002029D3">
        <w:rPr>
          <w:sz w:val="22"/>
        </w:rPr>
        <w:instrText xml:space="preserve"> SEQ Figure \* ARABIC </w:instrText>
      </w:r>
      <w:r w:rsidR="00A10E34" w:rsidRPr="002029D3">
        <w:rPr>
          <w:sz w:val="22"/>
        </w:rPr>
        <w:fldChar w:fldCharType="separate"/>
      </w:r>
      <w:r w:rsidR="0044282C">
        <w:rPr>
          <w:noProof/>
          <w:sz w:val="22"/>
        </w:rPr>
        <w:t>11</w:t>
      </w:r>
      <w:r w:rsidR="00A10E34" w:rsidRPr="002029D3">
        <w:rPr>
          <w:sz w:val="22"/>
        </w:rPr>
        <w:fldChar w:fldCharType="end"/>
      </w:r>
      <w:r w:rsidR="00A10E34" w:rsidRPr="002029D3">
        <w:rPr>
          <w:sz w:val="22"/>
        </w:rPr>
        <w:t>.</w:t>
      </w:r>
      <w:r w:rsidRPr="001C6A26">
        <w:rPr>
          <w:sz w:val="22"/>
        </w:rPr>
        <w:t xml:space="preserve"> Number of hospitalized patients (including regular bed and ICU) projected under each scenario</w:t>
      </w:r>
    </w:p>
    <w:p w14:paraId="15F7A58A" w14:textId="77777777" w:rsidR="00BF3B4F" w:rsidRPr="001C6A26" w:rsidRDefault="00BF3B4F">
      <w:pPr>
        <w:rPr>
          <w:rFonts w:asciiTheme="minorHAnsi" w:eastAsia="Calibri" w:hAnsiTheme="minorHAnsi"/>
        </w:rPr>
      </w:pPr>
    </w:p>
    <w:p w14:paraId="58965DFF" w14:textId="73C7EBAB" w:rsidR="00BF3B4F" w:rsidRPr="001C6A26" w:rsidRDefault="001C6A26">
      <w:pPr>
        <w:rPr>
          <w:rFonts w:asciiTheme="minorHAnsi" w:eastAsia="Calibri" w:hAnsiTheme="minorHAnsi"/>
        </w:rPr>
      </w:pPr>
      <w:r w:rsidRPr="001C6A26">
        <w:rPr>
          <w:rFonts w:asciiTheme="minorHAnsi" w:eastAsia="Calibri" w:hAnsiTheme="minorHAnsi"/>
        </w:rPr>
        <w:t>Projections for the number in the ICU and patients on mechanical ventilators are given in Figure</w:t>
      </w:r>
      <w:r w:rsidR="00CE1607">
        <w:rPr>
          <w:rFonts w:asciiTheme="minorHAnsi" w:hAnsiTheme="minorHAnsi" w:cstheme="minorHAnsi"/>
        </w:rPr>
        <w:t>s</w:t>
      </w:r>
      <w:r w:rsidR="007E0892">
        <w:rPr>
          <w:rFonts w:asciiTheme="minorHAnsi" w:hAnsiTheme="minorHAnsi" w:cstheme="minorHAnsi"/>
        </w:rPr>
        <w:t xml:space="preserve"> </w:t>
      </w:r>
      <w:r w:rsidR="00CE1607">
        <w:rPr>
          <w:rFonts w:asciiTheme="minorHAnsi" w:hAnsiTheme="minorHAnsi" w:cstheme="minorHAnsi"/>
        </w:rPr>
        <w:t>11 and 12</w:t>
      </w:r>
      <w:r w:rsidRPr="001C6A26">
        <w:rPr>
          <w:rFonts w:asciiTheme="minorHAnsi" w:eastAsia="Calibri" w:hAnsiTheme="minorHAnsi"/>
        </w:rPr>
        <w:t xml:space="preserve">. Our calculations for the number of ventilators are driven by the probability of ventilation among patients in ICU, which was estimated as 88% by the University of Arizona workgroup. </w:t>
      </w:r>
    </w:p>
    <w:p w14:paraId="1BA0E8B0" w14:textId="77777777" w:rsidR="00BF3B4F" w:rsidRDefault="00BF3B4F"/>
    <w:p w14:paraId="6A0ABA54" w14:textId="77777777" w:rsidR="0044282C" w:rsidRDefault="0044282C" w:rsidP="002029D3">
      <w:pPr>
        <w:pStyle w:val="Caption"/>
        <w:rPr>
          <w:sz w:val="22"/>
        </w:rPr>
      </w:pPr>
      <w:r>
        <w:rPr>
          <w:noProof/>
        </w:rPr>
        <w:lastRenderedPageBreak/>
        <w:drawing>
          <wp:inline distT="0" distB="0" distL="0" distR="0" wp14:anchorId="389B20ED" wp14:editId="324AF9F7">
            <wp:extent cx="5943600" cy="404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41775"/>
                    </a:xfrm>
                    <a:prstGeom prst="rect">
                      <a:avLst/>
                    </a:prstGeom>
                  </pic:spPr>
                </pic:pic>
              </a:graphicData>
            </a:graphic>
          </wp:inline>
        </w:drawing>
      </w:r>
    </w:p>
    <w:p w14:paraId="03F0B936" w14:textId="57A8EEC3" w:rsidR="00BF3B4F" w:rsidRPr="001C6A26" w:rsidRDefault="001C6A26" w:rsidP="001C6A26">
      <w:pPr>
        <w:pStyle w:val="Caption"/>
        <w:rPr>
          <w:sz w:val="22"/>
        </w:rPr>
      </w:pPr>
      <w:r w:rsidRPr="001C6A26">
        <w:rPr>
          <w:sz w:val="22"/>
        </w:rPr>
        <w:t xml:space="preserve">Figure </w:t>
      </w:r>
      <w:r w:rsidR="00180901" w:rsidRPr="002029D3">
        <w:rPr>
          <w:sz w:val="22"/>
        </w:rPr>
        <w:fldChar w:fldCharType="begin"/>
      </w:r>
      <w:r w:rsidR="00180901" w:rsidRPr="002029D3">
        <w:rPr>
          <w:sz w:val="22"/>
        </w:rPr>
        <w:instrText xml:space="preserve"> SEQ Figure \* ARABIC </w:instrText>
      </w:r>
      <w:r w:rsidR="00180901" w:rsidRPr="002029D3">
        <w:rPr>
          <w:sz w:val="22"/>
        </w:rPr>
        <w:fldChar w:fldCharType="separate"/>
      </w:r>
      <w:r w:rsidR="0044282C">
        <w:rPr>
          <w:noProof/>
          <w:sz w:val="22"/>
        </w:rPr>
        <w:t>12</w:t>
      </w:r>
      <w:r w:rsidR="00180901" w:rsidRPr="002029D3">
        <w:rPr>
          <w:sz w:val="22"/>
        </w:rPr>
        <w:fldChar w:fldCharType="end"/>
      </w:r>
      <w:r w:rsidR="00180901" w:rsidRPr="002029D3">
        <w:rPr>
          <w:sz w:val="22"/>
        </w:rPr>
        <w:t>.</w:t>
      </w:r>
      <w:r w:rsidRPr="001C6A26">
        <w:rPr>
          <w:sz w:val="22"/>
        </w:rPr>
        <w:t xml:space="preserve"> Projections for number of patients in the ICU and patients on mechanical ventilators.</w:t>
      </w:r>
    </w:p>
    <w:p w14:paraId="44FDF0F5" w14:textId="77777777" w:rsidR="00BF3B4F" w:rsidRPr="001C6A26" w:rsidRDefault="00BF3B4F">
      <w:pPr>
        <w:rPr>
          <w:rFonts w:asciiTheme="minorHAnsi" w:eastAsia="Calibri" w:hAnsiTheme="minorHAnsi"/>
        </w:rPr>
      </w:pPr>
    </w:p>
    <w:p w14:paraId="01AC321C" w14:textId="6D07A730" w:rsidR="002029D3" w:rsidRDefault="002029D3" w:rsidP="00180901">
      <w:pPr>
        <w:rPr>
          <w:rFonts w:asciiTheme="minorHAnsi" w:hAnsiTheme="minorHAnsi" w:cstheme="minorHAnsi"/>
        </w:rPr>
      </w:pPr>
    </w:p>
    <w:p w14:paraId="460B168B" w14:textId="4FC1C2AF" w:rsidR="0044282C" w:rsidRDefault="00171B77" w:rsidP="0044282C">
      <w:pPr>
        <w:keepNext/>
      </w:pPr>
      <w:r>
        <w:rPr>
          <w:noProof/>
        </w:rPr>
        <w:lastRenderedPageBreak/>
        <w:drawing>
          <wp:inline distT="0" distB="0" distL="0" distR="0" wp14:anchorId="57568A57" wp14:editId="0360EA1D">
            <wp:extent cx="5943600" cy="404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041775"/>
                    </a:xfrm>
                    <a:prstGeom prst="rect">
                      <a:avLst/>
                    </a:prstGeom>
                  </pic:spPr>
                </pic:pic>
              </a:graphicData>
            </a:graphic>
          </wp:inline>
        </w:drawing>
      </w:r>
    </w:p>
    <w:p w14:paraId="0E6F24E9" w14:textId="4FB8F484" w:rsidR="00BF3B4F" w:rsidRPr="001C6A26" w:rsidRDefault="0044282C" w:rsidP="001C6A26">
      <w:pPr>
        <w:pStyle w:val="Caption"/>
      </w:pPr>
      <w:r>
        <w:t xml:space="preserve">Figure </w:t>
      </w:r>
      <w:r w:rsidR="00171B77">
        <w:fldChar w:fldCharType="begin"/>
      </w:r>
      <w:r w:rsidR="00171B77">
        <w:instrText xml:space="preserve"> SEQ Figure \* ARABIC </w:instrText>
      </w:r>
      <w:r w:rsidR="00171B77">
        <w:fldChar w:fldCharType="separate"/>
      </w:r>
      <w:r>
        <w:rPr>
          <w:noProof/>
        </w:rPr>
        <w:t>13</w:t>
      </w:r>
      <w:r w:rsidR="00171B77">
        <w:rPr>
          <w:noProof/>
        </w:rPr>
        <w:fldChar w:fldCharType="end"/>
      </w:r>
      <w:r>
        <w:t>: Ventilator needs - all scenarios.</w:t>
      </w:r>
    </w:p>
    <w:p w14:paraId="58E7C05B" w14:textId="77777777" w:rsidR="00BF3B4F" w:rsidRPr="001C6A26" w:rsidRDefault="001C6A26">
      <w:pPr>
        <w:pStyle w:val="Heading1"/>
        <w:rPr>
          <w:rFonts w:asciiTheme="minorHAnsi" w:hAnsiTheme="minorHAnsi"/>
        </w:rPr>
      </w:pPr>
      <w:r w:rsidRPr="001C6A26">
        <w:rPr>
          <w:rFonts w:asciiTheme="minorHAnsi" w:hAnsiTheme="minorHAnsi"/>
        </w:rPr>
        <w:t>Acknowledgements</w:t>
      </w:r>
    </w:p>
    <w:p w14:paraId="4DCB485C" w14:textId="77777777" w:rsidR="00BF3B4F" w:rsidRPr="001C6A26" w:rsidRDefault="001C6A26">
      <w:pPr>
        <w:rPr>
          <w:rFonts w:asciiTheme="minorHAnsi" w:eastAsia="Calibri" w:hAnsiTheme="minorHAnsi"/>
          <w:b/>
          <w:color w:val="000000" w:themeColor="text1"/>
        </w:rPr>
      </w:pPr>
      <w:r w:rsidRPr="001C6A26">
        <w:rPr>
          <w:rFonts w:asciiTheme="minorHAnsi" w:eastAsia="Calibri" w:hAnsiTheme="minorHAnsi"/>
          <w:b/>
        </w:rPr>
        <w:t>ADHS Modeling Working Group team (in alphabetical order):</w:t>
      </w:r>
    </w:p>
    <w:p w14:paraId="0AA3E171"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Amber </w:t>
      </w:r>
      <w:proofErr w:type="spellStart"/>
      <w:r w:rsidRPr="001C6A26">
        <w:rPr>
          <w:rFonts w:asciiTheme="minorHAnsi" w:eastAsia="Calibri" w:hAnsiTheme="minorHAnsi"/>
        </w:rPr>
        <w:t>Asburry</w:t>
      </w:r>
      <w:proofErr w:type="spellEnd"/>
      <w:r w:rsidRPr="001C6A26">
        <w:rPr>
          <w:rFonts w:asciiTheme="minorHAnsi" w:eastAsia="Calibri" w:hAnsiTheme="minorHAnsi"/>
        </w:rPr>
        <w:t xml:space="preserve"> (</w:t>
      </w:r>
      <w:hyperlink r:id="rId22">
        <w:r w:rsidRPr="001C6A26">
          <w:rPr>
            <w:rStyle w:val="Hyperlink"/>
            <w:rFonts w:asciiTheme="minorHAnsi" w:eastAsia="Calibri" w:hAnsiTheme="minorHAnsi"/>
            <w:color w:val="auto"/>
          </w:rPr>
          <w:t>amber.asburry@azdhs.gov</w:t>
        </w:r>
      </w:hyperlink>
      <w:r w:rsidRPr="001C6A26">
        <w:rPr>
          <w:rFonts w:asciiTheme="minorHAnsi" w:eastAsia="Calibri" w:hAnsiTheme="minorHAnsi"/>
        </w:rPr>
        <w:t>)</w:t>
      </w:r>
    </w:p>
    <w:p w14:paraId="4C0C74BB" w14:textId="77777777" w:rsidR="00BF3B4F" w:rsidRPr="001C6A26" w:rsidRDefault="001C6A26">
      <w:pPr>
        <w:rPr>
          <w:rFonts w:asciiTheme="minorHAnsi" w:eastAsia="Calibri" w:hAnsiTheme="minorHAnsi"/>
        </w:rPr>
      </w:pPr>
      <w:r w:rsidRPr="001C6A26">
        <w:rPr>
          <w:rFonts w:asciiTheme="minorHAnsi" w:eastAsia="Calibri" w:hAnsiTheme="minorHAnsi"/>
        </w:rPr>
        <w:t>Steven Robert Bailey (</w:t>
      </w:r>
      <w:hyperlink r:id="rId23">
        <w:r w:rsidRPr="001C6A26">
          <w:rPr>
            <w:rStyle w:val="Hyperlink"/>
            <w:rFonts w:asciiTheme="minorHAnsi" w:eastAsia="Calibri" w:hAnsiTheme="minorHAnsi"/>
            <w:color w:val="auto"/>
          </w:rPr>
          <w:t>steven.bailey@azdhs.gov</w:t>
        </w:r>
      </w:hyperlink>
      <w:r w:rsidRPr="001C6A26">
        <w:rPr>
          <w:rFonts w:asciiTheme="minorHAnsi" w:eastAsia="Calibri" w:hAnsiTheme="minorHAnsi"/>
        </w:rPr>
        <w:t>)</w:t>
      </w:r>
    </w:p>
    <w:p w14:paraId="14E70B1E" w14:textId="77777777" w:rsidR="00BF3B4F" w:rsidRPr="001C6A26" w:rsidRDefault="001C6A26">
      <w:pPr>
        <w:rPr>
          <w:rFonts w:asciiTheme="minorHAnsi" w:eastAsia="Calibri" w:hAnsiTheme="minorHAnsi"/>
        </w:rPr>
      </w:pPr>
      <w:r w:rsidRPr="001C6A26">
        <w:rPr>
          <w:rFonts w:asciiTheme="minorHAnsi" w:eastAsia="Calibri" w:hAnsiTheme="minorHAnsi"/>
        </w:rPr>
        <w:t>Timothy Flood (</w:t>
      </w:r>
      <w:hyperlink r:id="rId24">
        <w:r w:rsidRPr="001C6A26">
          <w:rPr>
            <w:rStyle w:val="Hyperlink"/>
            <w:rFonts w:asciiTheme="minorHAnsi" w:eastAsia="Calibri" w:hAnsiTheme="minorHAnsi"/>
            <w:color w:val="auto"/>
          </w:rPr>
          <w:t>timothy.flood@azdhs.gov</w:t>
        </w:r>
      </w:hyperlink>
      <w:r w:rsidRPr="001C6A26">
        <w:rPr>
          <w:rFonts w:asciiTheme="minorHAnsi" w:eastAsia="Calibri" w:hAnsiTheme="minorHAnsi"/>
        </w:rPr>
        <w:t>)</w:t>
      </w:r>
    </w:p>
    <w:p w14:paraId="7EA247ED" w14:textId="77777777" w:rsidR="00BF3B4F" w:rsidRPr="001C6A26" w:rsidRDefault="001C6A26">
      <w:pPr>
        <w:rPr>
          <w:rFonts w:asciiTheme="minorHAnsi" w:eastAsia="Calibri" w:hAnsiTheme="minorHAnsi"/>
        </w:rPr>
      </w:pPr>
      <w:r w:rsidRPr="001C6A26">
        <w:rPr>
          <w:rFonts w:asciiTheme="minorHAnsi" w:eastAsia="Calibri" w:hAnsiTheme="minorHAnsi"/>
        </w:rPr>
        <w:t>Joe Gerald (</w:t>
      </w:r>
      <w:hyperlink r:id="rId25">
        <w:r w:rsidRPr="001C6A26">
          <w:rPr>
            <w:rStyle w:val="Hyperlink"/>
            <w:rFonts w:asciiTheme="minorHAnsi" w:eastAsia="Calibri" w:hAnsiTheme="minorHAnsi"/>
            <w:color w:val="auto"/>
          </w:rPr>
          <w:t>geraldj@arizona.edu</w:t>
        </w:r>
      </w:hyperlink>
      <w:r w:rsidRPr="001C6A26">
        <w:rPr>
          <w:rFonts w:asciiTheme="minorHAnsi" w:eastAsia="Calibri" w:hAnsiTheme="minorHAnsi"/>
        </w:rPr>
        <w:t>)</w:t>
      </w:r>
    </w:p>
    <w:p w14:paraId="32AE3A9F" w14:textId="77777777" w:rsidR="00BF3B4F" w:rsidRPr="001C6A26" w:rsidRDefault="001C6A26">
      <w:pPr>
        <w:rPr>
          <w:rFonts w:asciiTheme="minorHAnsi" w:eastAsia="Calibri" w:hAnsiTheme="minorHAnsi"/>
        </w:rPr>
      </w:pPr>
      <w:r w:rsidRPr="001C6A26">
        <w:rPr>
          <w:rFonts w:asciiTheme="minorHAnsi" w:eastAsia="Calibri" w:hAnsiTheme="minorHAnsi"/>
        </w:rPr>
        <w:t>Heidi Gracie (</w:t>
      </w:r>
      <w:hyperlink r:id="rId26">
        <w:r w:rsidRPr="001C6A26">
          <w:rPr>
            <w:rStyle w:val="Hyperlink"/>
            <w:rFonts w:asciiTheme="minorHAnsi" w:eastAsia="Calibri" w:hAnsiTheme="minorHAnsi"/>
            <w:color w:val="auto"/>
          </w:rPr>
          <w:t>Heidi.Gracie@asu.edu</w:t>
        </w:r>
      </w:hyperlink>
      <w:r w:rsidRPr="001C6A26">
        <w:rPr>
          <w:rFonts w:asciiTheme="minorHAnsi" w:eastAsia="Calibri" w:hAnsiTheme="minorHAnsi"/>
        </w:rPr>
        <w:t>)</w:t>
      </w:r>
    </w:p>
    <w:p w14:paraId="610BB269" w14:textId="77777777" w:rsidR="00BF3B4F" w:rsidRPr="001C6A26" w:rsidRDefault="001C6A26">
      <w:pPr>
        <w:rPr>
          <w:rFonts w:asciiTheme="minorHAnsi" w:eastAsia="Calibri" w:hAnsiTheme="minorHAnsi"/>
        </w:rPr>
      </w:pPr>
      <w:r w:rsidRPr="001C6A26">
        <w:rPr>
          <w:rFonts w:asciiTheme="minorHAnsi" w:eastAsia="Calibri" w:hAnsiTheme="minorHAnsi"/>
        </w:rPr>
        <w:t>Katherine Hiller (</w:t>
      </w:r>
      <w:hyperlink r:id="rId27">
        <w:r w:rsidRPr="001C6A26">
          <w:rPr>
            <w:rStyle w:val="Hyperlink"/>
            <w:rFonts w:asciiTheme="minorHAnsi" w:eastAsia="Calibri" w:hAnsiTheme="minorHAnsi"/>
            <w:color w:val="auto"/>
          </w:rPr>
          <w:t>khiller@aemrc.arizona.edu</w:t>
        </w:r>
      </w:hyperlink>
      <w:r w:rsidRPr="001C6A26">
        <w:rPr>
          <w:rFonts w:asciiTheme="minorHAnsi" w:eastAsia="Calibri" w:hAnsiTheme="minorHAnsi"/>
        </w:rPr>
        <w:t>)</w:t>
      </w:r>
    </w:p>
    <w:p w14:paraId="18C85F62"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Megan </w:t>
      </w:r>
      <w:proofErr w:type="spellStart"/>
      <w:r w:rsidRPr="001C6A26">
        <w:rPr>
          <w:rFonts w:asciiTheme="minorHAnsi" w:eastAsia="Calibri" w:hAnsiTheme="minorHAnsi"/>
        </w:rPr>
        <w:t>Jehn</w:t>
      </w:r>
      <w:proofErr w:type="spellEnd"/>
      <w:r w:rsidRPr="001C6A26">
        <w:rPr>
          <w:rFonts w:asciiTheme="minorHAnsi" w:eastAsia="Calibri" w:hAnsiTheme="minorHAnsi"/>
        </w:rPr>
        <w:t xml:space="preserve"> (</w:t>
      </w:r>
      <w:hyperlink r:id="rId28">
        <w:r w:rsidRPr="001C6A26">
          <w:rPr>
            <w:rStyle w:val="Hyperlink"/>
            <w:rFonts w:asciiTheme="minorHAnsi" w:eastAsia="Calibri" w:hAnsiTheme="minorHAnsi"/>
            <w:color w:val="auto"/>
          </w:rPr>
          <w:t>megan.jehn@asu.edu</w:t>
        </w:r>
      </w:hyperlink>
      <w:r w:rsidRPr="001C6A26">
        <w:rPr>
          <w:rFonts w:asciiTheme="minorHAnsi" w:eastAsia="Calibri" w:hAnsiTheme="minorHAnsi"/>
        </w:rPr>
        <w:t>)</w:t>
      </w:r>
    </w:p>
    <w:p w14:paraId="59FFE208" w14:textId="77777777" w:rsidR="00BF3B4F" w:rsidRPr="001C6A26" w:rsidRDefault="001C6A26">
      <w:pPr>
        <w:rPr>
          <w:rFonts w:asciiTheme="minorHAnsi" w:eastAsia="Calibri" w:hAnsiTheme="minorHAnsi"/>
        </w:rPr>
      </w:pPr>
      <w:r w:rsidRPr="001C6A26">
        <w:rPr>
          <w:rFonts w:asciiTheme="minorHAnsi" w:eastAsia="Calibri" w:hAnsiTheme="minorHAnsi"/>
        </w:rPr>
        <w:t>Ken Komatsu (</w:t>
      </w:r>
      <w:hyperlink r:id="rId29">
        <w:r w:rsidRPr="001C6A26">
          <w:rPr>
            <w:rStyle w:val="Hyperlink"/>
            <w:rFonts w:asciiTheme="minorHAnsi" w:eastAsia="Calibri" w:hAnsiTheme="minorHAnsi"/>
            <w:color w:val="auto"/>
          </w:rPr>
          <w:t>ken.komatsu@azdhs.gov</w:t>
        </w:r>
      </w:hyperlink>
      <w:r w:rsidRPr="001C6A26">
        <w:rPr>
          <w:rFonts w:asciiTheme="minorHAnsi" w:eastAsia="Calibri" w:hAnsiTheme="minorHAnsi"/>
        </w:rPr>
        <w:t>)</w:t>
      </w:r>
    </w:p>
    <w:p w14:paraId="488F25EC"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Tim </w:t>
      </w:r>
      <w:proofErr w:type="spellStart"/>
      <w:r w:rsidRPr="001C6A26">
        <w:rPr>
          <w:rFonts w:asciiTheme="minorHAnsi" w:eastAsia="Calibri" w:hAnsiTheme="minorHAnsi"/>
        </w:rPr>
        <w:t>Lant</w:t>
      </w:r>
      <w:proofErr w:type="spellEnd"/>
      <w:r w:rsidRPr="001C6A26">
        <w:rPr>
          <w:rFonts w:asciiTheme="minorHAnsi" w:eastAsia="Calibri" w:hAnsiTheme="minorHAnsi"/>
        </w:rPr>
        <w:t xml:space="preserve"> (</w:t>
      </w:r>
      <w:hyperlink r:id="rId30">
        <w:r w:rsidRPr="001C6A26">
          <w:rPr>
            <w:rStyle w:val="Hyperlink"/>
            <w:rFonts w:asciiTheme="minorHAnsi" w:eastAsia="Calibri" w:hAnsiTheme="minorHAnsi"/>
            <w:color w:val="auto"/>
          </w:rPr>
          <w:t>tim.lant@asu.edu</w:t>
        </w:r>
      </w:hyperlink>
      <w:r w:rsidRPr="001C6A26">
        <w:rPr>
          <w:rFonts w:asciiTheme="minorHAnsi" w:eastAsia="Calibri" w:hAnsiTheme="minorHAnsi"/>
        </w:rPr>
        <w:t xml:space="preserve">) </w:t>
      </w:r>
    </w:p>
    <w:p w14:paraId="36AEA07B"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Mark </w:t>
      </w:r>
      <w:proofErr w:type="spellStart"/>
      <w:r w:rsidRPr="001C6A26">
        <w:rPr>
          <w:rFonts w:asciiTheme="minorHAnsi" w:eastAsia="Calibri" w:hAnsiTheme="minorHAnsi"/>
        </w:rPr>
        <w:t>Manfredo</w:t>
      </w:r>
      <w:proofErr w:type="spellEnd"/>
      <w:r w:rsidRPr="001C6A26">
        <w:rPr>
          <w:rFonts w:asciiTheme="minorHAnsi" w:eastAsia="Calibri" w:hAnsiTheme="minorHAnsi"/>
        </w:rPr>
        <w:t xml:space="preserve"> (</w:t>
      </w:r>
      <w:hyperlink r:id="rId31">
        <w:r w:rsidRPr="001C6A26">
          <w:rPr>
            <w:rStyle w:val="Hyperlink"/>
            <w:rFonts w:asciiTheme="minorHAnsi" w:eastAsia="Calibri" w:hAnsiTheme="minorHAnsi"/>
            <w:color w:val="auto"/>
          </w:rPr>
          <w:t>manfredo@asu.edu</w:t>
        </w:r>
      </w:hyperlink>
      <w:r w:rsidRPr="001C6A26">
        <w:rPr>
          <w:rFonts w:asciiTheme="minorHAnsi" w:eastAsia="Calibri" w:hAnsiTheme="minorHAnsi"/>
        </w:rPr>
        <w:t>)</w:t>
      </w:r>
    </w:p>
    <w:p w14:paraId="644F6F0A" w14:textId="77777777" w:rsidR="00BF3B4F" w:rsidRPr="001C6A26" w:rsidRDefault="001C6A26">
      <w:pPr>
        <w:rPr>
          <w:rFonts w:asciiTheme="minorHAnsi" w:eastAsia="Calibri" w:hAnsiTheme="minorHAnsi"/>
        </w:rPr>
      </w:pPr>
      <w:r w:rsidRPr="001C6A26">
        <w:rPr>
          <w:rFonts w:asciiTheme="minorHAnsi" w:eastAsia="Calibri" w:hAnsiTheme="minorHAnsi"/>
        </w:rPr>
        <w:t>Anna Muldoon (</w:t>
      </w:r>
      <w:hyperlink r:id="rId32">
        <w:r w:rsidRPr="001C6A26">
          <w:rPr>
            <w:rStyle w:val="Hyperlink"/>
            <w:rFonts w:asciiTheme="minorHAnsi" w:eastAsia="Calibri" w:hAnsiTheme="minorHAnsi"/>
            <w:color w:val="auto"/>
          </w:rPr>
          <w:t>armuldoo@asu.edu</w:t>
        </w:r>
      </w:hyperlink>
      <w:r w:rsidRPr="001C6A26">
        <w:rPr>
          <w:rFonts w:asciiTheme="minorHAnsi" w:eastAsia="Calibri" w:hAnsiTheme="minorHAnsi"/>
        </w:rPr>
        <w:t xml:space="preserve">)  </w:t>
      </w:r>
    </w:p>
    <w:p w14:paraId="2F2994CE" w14:textId="77777777" w:rsidR="00C1064B" w:rsidRDefault="00C1064B" w:rsidP="4D3E24F2">
      <w:pPr>
        <w:rPr>
          <w:rFonts w:asciiTheme="minorHAnsi" w:hAnsiTheme="minorHAnsi" w:cstheme="minorHAnsi"/>
        </w:rPr>
      </w:pPr>
      <w:proofErr w:type="spellStart"/>
      <w:r w:rsidRPr="00C1064B">
        <w:rPr>
          <w:rFonts w:asciiTheme="minorHAnsi" w:hAnsiTheme="minorHAnsi" w:cstheme="minorHAnsi"/>
        </w:rPr>
        <w:t>Esma</w:t>
      </w:r>
      <w:proofErr w:type="spellEnd"/>
      <w:r w:rsidRPr="00C1064B">
        <w:rPr>
          <w:rFonts w:asciiTheme="minorHAnsi" w:hAnsiTheme="minorHAnsi" w:cstheme="minorHAnsi"/>
        </w:rPr>
        <w:t xml:space="preserve"> Gel (</w:t>
      </w:r>
      <w:hyperlink r:id="rId33" w:history="1">
        <w:r w:rsidRPr="00015593">
          <w:rPr>
            <w:rStyle w:val="Hyperlink"/>
            <w:rFonts w:asciiTheme="minorHAnsi" w:hAnsiTheme="minorHAnsi" w:cstheme="minorHAnsi"/>
          </w:rPr>
          <w:t>esma.gel@asu.edu</w:t>
        </w:r>
      </w:hyperlink>
      <w:r w:rsidRPr="00C1064B">
        <w:rPr>
          <w:rFonts w:asciiTheme="minorHAnsi" w:hAnsiTheme="minorHAnsi" w:cstheme="minorHAnsi"/>
        </w:rPr>
        <w:t>)</w:t>
      </w:r>
    </w:p>
    <w:p w14:paraId="5663C319" w14:textId="19FB8F7A" w:rsidR="00BF3B4F" w:rsidRPr="001C6A26" w:rsidRDefault="001C6A26">
      <w:pPr>
        <w:rPr>
          <w:rFonts w:asciiTheme="minorHAnsi" w:eastAsia="Calibri" w:hAnsiTheme="minorHAnsi"/>
        </w:rPr>
      </w:pPr>
      <w:r w:rsidRPr="001C6A26">
        <w:rPr>
          <w:rFonts w:asciiTheme="minorHAnsi" w:eastAsia="Calibri" w:hAnsiTheme="minorHAnsi"/>
        </w:rPr>
        <w:t xml:space="preserve">Anita </w:t>
      </w:r>
      <w:proofErr w:type="spellStart"/>
      <w:r w:rsidRPr="001C6A26">
        <w:rPr>
          <w:rFonts w:asciiTheme="minorHAnsi" w:eastAsia="Calibri" w:hAnsiTheme="minorHAnsi"/>
        </w:rPr>
        <w:t>Murcko</w:t>
      </w:r>
      <w:proofErr w:type="spellEnd"/>
      <w:r w:rsidRPr="001C6A26">
        <w:rPr>
          <w:rFonts w:asciiTheme="minorHAnsi" w:eastAsia="Calibri" w:hAnsiTheme="minorHAnsi"/>
        </w:rPr>
        <w:t xml:space="preserve"> </w:t>
      </w:r>
      <w:r w:rsidR="00C1064B" w:rsidRPr="00C1064B">
        <w:rPr>
          <w:rFonts w:asciiTheme="minorHAnsi" w:hAnsiTheme="minorHAnsi" w:cstheme="minorHAnsi"/>
        </w:rPr>
        <w:t xml:space="preserve">(Anita.Murcko@asu.edu)  </w:t>
      </w:r>
    </w:p>
    <w:p w14:paraId="4C408892" w14:textId="77777777" w:rsidR="00BF3B4F" w:rsidRPr="001C6A26" w:rsidRDefault="001C6A26">
      <w:pPr>
        <w:rPr>
          <w:rFonts w:asciiTheme="minorHAnsi" w:eastAsia="Calibri" w:hAnsiTheme="minorHAnsi"/>
        </w:rPr>
      </w:pPr>
      <w:r w:rsidRPr="001C6A26">
        <w:rPr>
          <w:rFonts w:asciiTheme="minorHAnsi" w:eastAsia="Calibri" w:hAnsiTheme="minorHAnsi"/>
        </w:rPr>
        <w:t>Vern Pilling (</w:t>
      </w:r>
      <w:hyperlink r:id="rId34">
        <w:r w:rsidRPr="001C6A26">
          <w:rPr>
            <w:rStyle w:val="Hyperlink"/>
            <w:rFonts w:asciiTheme="minorHAnsi" w:eastAsia="Calibri" w:hAnsiTheme="minorHAnsi"/>
            <w:color w:val="auto"/>
          </w:rPr>
          <w:t>vpilling@deptofmed.arizona.edu</w:t>
        </w:r>
      </w:hyperlink>
      <w:r w:rsidRPr="001C6A26">
        <w:rPr>
          <w:rFonts w:asciiTheme="minorHAnsi" w:eastAsia="Calibri" w:hAnsiTheme="minorHAnsi"/>
        </w:rPr>
        <w:t>)</w:t>
      </w:r>
    </w:p>
    <w:p w14:paraId="1E10C136" w14:textId="77777777" w:rsidR="00C1064B" w:rsidRDefault="001C6A26" w:rsidP="4D3E24F2">
      <w:pPr>
        <w:rPr>
          <w:rStyle w:val="Hyperlink"/>
          <w:rFonts w:asciiTheme="minorHAnsi" w:eastAsiaTheme="majorEastAsia" w:hAnsiTheme="minorHAnsi" w:cstheme="minorHAnsi"/>
          <w:color w:val="auto"/>
        </w:rPr>
      </w:pPr>
      <w:r w:rsidRPr="001C6A26">
        <w:rPr>
          <w:rFonts w:asciiTheme="minorHAnsi" w:eastAsia="Calibri" w:hAnsiTheme="minorHAnsi"/>
        </w:rPr>
        <w:t>Timothy Richards (</w:t>
      </w:r>
      <w:hyperlink r:id="rId35">
        <w:r w:rsidRPr="001C6A26">
          <w:rPr>
            <w:rStyle w:val="Hyperlink"/>
            <w:rFonts w:asciiTheme="minorHAnsi" w:eastAsia="Calibri" w:hAnsiTheme="minorHAnsi"/>
            <w:color w:val="auto"/>
          </w:rPr>
          <w:t>trichards@asu.edu</w:t>
        </w:r>
      </w:hyperlink>
    </w:p>
    <w:p w14:paraId="62C437DB" w14:textId="5F491F55" w:rsidR="00BF3B4F" w:rsidRPr="001C6A26" w:rsidRDefault="00C1064B">
      <w:pPr>
        <w:rPr>
          <w:rFonts w:asciiTheme="minorHAnsi" w:eastAsia="Calibri" w:hAnsiTheme="minorHAnsi"/>
        </w:rPr>
      </w:pPr>
      <w:r>
        <w:rPr>
          <w:rStyle w:val="Hyperlink"/>
          <w:rFonts w:asciiTheme="minorHAnsi" w:eastAsiaTheme="majorEastAsia" w:hAnsiTheme="minorHAnsi" w:cstheme="minorHAnsi"/>
          <w:color w:val="auto"/>
        </w:rPr>
        <w:t>Timothy James (</w:t>
      </w:r>
      <w:hyperlink r:id="rId36" w:history="1">
        <w:r w:rsidRPr="00015593">
          <w:rPr>
            <w:rStyle w:val="Hyperlink"/>
            <w:rFonts w:asciiTheme="minorHAnsi" w:eastAsiaTheme="majorEastAsia" w:hAnsiTheme="minorHAnsi" w:cstheme="minorHAnsi"/>
          </w:rPr>
          <w:t>Timothy.James@asu.edu</w:t>
        </w:r>
      </w:hyperlink>
      <w:r w:rsidR="4D3E24F2" w:rsidRPr="00853A92">
        <w:rPr>
          <w:rFonts w:asciiTheme="minorHAnsi" w:hAnsiTheme="minorHAnsi" w:cstheme="minorHAnsi"/>
        </w:rPr>
        <w:t>),</w:t>
      </w:r>
      <w:r w:rsidR="001C6A26" w:rsidRPr="001C6A26">
        <w:rPr>
          <w:rFonts w:asciiTheme="minorHAnsi" w:eastAsia="Calibri" w:hAnsiTheme="minorHAnsi"/>
        </w:rPr>
        <w:t xml:space="preserve"> </w:t>
      </w:r>
    </w:p>
    <w:p w14:paraId="1C9FBF34" w14:textId="77777777" w:rsidR="00BF3B4F" w:rsidRPr="001C6A26" w:rsidRDefault="001C6A26">
      <w:pPr>
        <w:rPr>
          <w:rFonts w:asciiTheme="minorHAnsi" w:eastAsia="Calibri" w:hAnsiTheme="minorHAnsi"/>
        </w:rPr>
      </w:pPr>
      <w:r w:rsidRPr="001C6A26">
        <w:rPr>
          <w:rFonts w:asciiTheme="minorHAnsi" w:eastAsia="Calibri" w:hAnsiTheme="minorHAnsi"/>
        </w:rPr>
        <w:t>Heather Ross (</w:t>
      </w:r>
      <w:hyperlink r:id="rId37">
        <w:r w:rsidRPr="001C6A26">
          <w:rPr>
            <w:rStyle w:val="Hyperlink"/>
            <w:rFonts w:asciiTheme="minorHAnsi" w:eastAsia="Calibri" w:hAnsiTheme="minorHAnsi"/>
            <w:color w:val="auto"/>
          </w:rPr>
          <w:t>heather.m.ross@asu.edu</w:t>
        </w:r>
      </w:hyperlink>
      <w:r w:rsidRPr="001C6A26">
        <w:rPr>
          <w:rFonts w:asciiTheme="minorHAnsi" w:eastAsia="Calibri" w:hAnsiTheme="minorHAnsi"/>
        </w:rPr>
        <w:t>)</w:t>
      </w:r>
    </w:p>
    <w:p w14:paraId="3776DDEC"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George </w:t>
      </w:r>
      <w:proofErr w:type="spellStart"/>
      <w:r w:rsidRPr="001C6A26">
        <w:rPr>
          <w:rFonts w:asciiTheme="minorHAnsi" w:eastAsia="Calibri" w:hAnsiTheme="minorHAnsi"/>
        </w:rPr>
        <w:t>Runger</w:t>
      </w:r>
      <w:proofErr w:type="spellEnd"/>
      <w:r w:rsidRPr="001C6A26">
        <w:rPr>
          <w:rFonts w:asciiTheme="minorHAnsi" w:eastAsia="Calibri" w:hAnsiTheme="minorHAnsi"/>
        </w:rPr>
        <w:t xml:space="preserve"> (</w:t>
      </w:r>
      <w:hyperlink r:id="rId38">
        <w:r w:rsidRPr="001C6A26">
          <w:rPr>
            <w:rStyle w:val="Hyperlink"/>
            <w:rFonts w:asciiTheme="minorHAnsi" w:eastAsia="Calibri" w:hAnsiTheme="minorHAnsi"/>
            <w:color w:val="auto"/>
          </w:rPr>
          <w:t>george.runger@asu.edu</w:t>
        </w:r>
      </w:hyperlink>
      <w:r w:rsidRPr="001C6A26">
        <w:rPr>
          <w:rFonts w:asciiTheme="minorHAnsi" w:eastAsia="Calibri" w:hAnsiTheme="minorHAnsi"/>
        </w:rPr>
        <w:t>)</w:t>
      </w:r>
    </w:p>
    <w:p w14:paraId="662C6AC4" w14:textId="77777777" w:rsidR="00BF3B4F" w:rsidRPr="001C6A26" w:rsidRDefault="001C6A26">
      <w:pPr>
        <w:rPr>
          <w:rFonts w:asciiTheme="minorHAnsi" w:eastAsia="Calibri" w:hAnsiTheme="minorHAnsi"/>
        </w:rPr>
      </w:pPr>
      <w:r w:rsidRPr="001C6A26">
        <w:rPr>
          <w:rFonts w:asciiTheme="minorHAnsi" w:eastAsia="Calibri" w:hAnsiTheme="minorHAnsi"/>
        </w:rPr>
        <w:lastRenderedPageBreak/>
        <w:t xml:space="preserve">Marguerite </w:t>
      </w:r>
      <w:proofErr w:type="spellStart"/>
      <w:r w:rsidRPr="001C6A26">
        <w:rPr>
          <w:rFonts w:asciiTheme="minorHAnsi" w:eastAsia="Calibri" w:hAnsiTheme="minorHAnsi"/>
        </w:rPr>
        <w:t>Sagna</w:t>
      </w:r>
      <w:proofErr w:type="spellEnd"/>
      <w:r w:rsidRPr="001C6A26">
        <w:rPr>
          <w:rFonts w:asciiTheme="minorHAnsi" w:eastAsia="Calibri" w:hAnsiTheme="minorHAnsi"/>
        </w:rPr>
        <w:t xml:space="preserve"> (</w:t>
      </w:r>
      <w:hyperlink r:id="rId39">
        <w:r w:rsidRPr="001C6A26">
          <w:rPr>
            <w:rStyle w:val="Hyperlink"/>
            <w:rFonts w:asciiTheme="minorHAnsi" w:eastAsia="Calibri" w:hAnsiTheme="minorHAnsi"/>
            <w:color w:val="auto"/>
          </w:rPr>
          <w:t>marguerite.sagna-kemp@azdhs.gov</w:t>
        </w:r>
      </w:hyperlink>
      <w:r w:rsidRPr="001C6A26">
        <w:rPr>
          <w:rFonts w:asciiTheme="minorHAnsi" w:eastAsia="Calibri" w:hAnsiTheme="minorHAnsi"/>
        </w:rPr>
        <w:t>)</w:t>
      </w:r>
    </w:p>
    <w:p w14:paraId="5108DEB5"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Lisa </w:t>
      </w:r>
      <w:proofErr w:type="spellStart"/>
      <w:r w:rsidRPr="001C6A26">
        <w:rPr>
          <w:rFonts w:asciiTheme="minorHAnsi" w:eastAsia="Calibri" w:hAnsiTheme="minorHAnsi"/>
        </w:rPr>
        <w:t>Villarroel</w:t>
      </w:r>
      <w:proofErr w:type="spellEnd"/>
      <w:r w:rsidRPr="001C6A26">
        <w:rPr>
          <w:rFonts w:asciiTheme="minorHAnsi" w:eastAsia="Calibri" w:hAnsiTheme="minorHAnsi"/>
        </w:rPr>
        <w:t xml:space="preserve"> (</w:t>
      </w:r>
      <w:hyperlink r:id="rId40">
        <w:r w:rsidRPr="001C6A26">
          <w:rPr>
            <w:rStyle w:val="Hyperlink"/>
            <w:rFonts w:asciiTheme="minorHAnsi" w:eastAsia="Calibri" w:hAnsiTheme="minorHAnsi"/>
            <w:color w:val="auto"/>
          </w:rPr>
          <w:t>lisa.villarroel@azdhs.gov</w:t>
        </w:r>
      </w:hyperlink>
      <w:r w:rsidRPr="001C6A26">
        <w:rPr>
          <w:rFonts w:asciiTheme="minorHAnsi" w:eastAsia="Calibri" w:hAnsiTheme="minorHAnsi"/>
        </w:rPr>
        <w:t>)</w:t>
      </w:r>
    </w:p>
    <w:p w14:paraId="5C54A91B" w14:textId="77777777" w:rsidR="00BF3B4F" w:rsidRPr="001C6A26" w:rsidRDefault="001C6A26">
      <w:pPr>
        <w:rPr>
          <w:rFonts w:asciiTheme="minorHAnsi" w:eastAsia="Calibri" w:hAnsiTheme="minorHAnsi"/>
        </w:rPr>
      </w:pPr>
      <w:r w:rsidRPr="001C6A26">
        <w:rPr>
          <w:rFonts w:asciiTheme="minorHAnsi" w:eastAsia="Calibri" w:hAnsiTheme="minorHAnsi"/>
        </w:rPr>
        <w:t>Patrick Wightman (</w:t>
      </w:r>
      <w:hyperlink r:id="rId41">
        <w:r w:rsidRPr="001C6A26">
          <w:rPr>
            <w:rStyle w:val="Hyperlink"/>
            <w:rFonts w:asciiTheme="minorHAnsi" w:eastAsia="Calibri" w:hAnsiTheme="minorHAnsi"/>
            <w:color w:val="auto"/>
          </w:rPr>
          <w:t>wightman@email.arizona.edu</w:t>
        </w:r>
      </w:hyperlink>
      <w:r w:rsidRPr="001C6A26">
        <w:rPr>
          <w:rFonts w:asciiTheme="minorHAnsi" w:eastAsia="Calibri" w:hAnsiTheme="minorHAnsi"/>
        </w:rPr>
        <w:t>)</w:t>
      </w:r>
    </w:p>
    <w:p w14:paraId="36E86B78" w14:textId="77777777" w:rsidR="00BF3B4F" w:rsidRPr="001C6A26" w:rsidRDefault="001C6A26">
      <w:pPr>
        <w:rPr>
          <w:rFonts w:asciiTheme="minorHAnsi" w:eastAsia="Calibri" w:hAnsiTheme="minorHAnsi"/>
        </w:rPr>
      </w:pPr>
      <w:r w:rsidRPr="001C6A26">
        <w:rPr>
          <w:rFonts w:asciiTheme="minorHAnsi" w:eastAsia="Calibri" w:hAnsiTheme="minorHAnsi"/>
        </w:rPr>
        <w:t>Neal Woodbury (</w:t>
      </w:r>
      <w:hyperlink r:id="rId42">
        <w:r w:rsidRPr="001C6A26">
          <w:rPr>
            <w:rStyle w:val="Hyperlink"/>
            <w:rFonts w:asciiTheme="minorHAnsi" w:eastAsia="Calibri" w:hAnsiTheme="minorHAnsi"/>
            <w:color w:val="auto"/>
          </w:rPr>
          <w:t>NWoodbury@asu.edu</w:t>
        </w:r>
      </w:hyperlink>
      <w:r w:rsidRPr="001C6A26">
        <w:rPr>
          <w:rFonts w:asciiTheme="minorHAnsi" w:eastAsia="Calibri" w:hAnsiTheme="minorHAnsi"/>
        </w:rPr>
        <w:t>)</w:t>
      </w:r>
    </w:p>
    <w:p w14:paraId="0D6F9B56" w14:textId="77777777" w:rsidR="00BF3B4F" w:rsidRPr="001C6A26" w:rsidRDefault="00BF3B4F">
      <w:pPr>
        <w:rPr>
          <w:rFonts w:asciiTheme="minorHAnsi" w:eastAsia="Calibri" w:hAnsiTheme="minorHAnsi"/>
        </w:rPr>
      </w:pPr>
    </w:p>
    <w:p w14:paraId="0DA6E353" w14:textId="77777777" w:rsidR="00BF3B4F" w:rsidRPr="001C6A26" w:rsidRDefault="00BF3B4F">
      <w:pPr>
        <w:rPr>
          <w:rFonts w:asciiTheme="minorHAnsi" w:eastAsia="Calibri" w:hAnsiTheme="minorHAnsi"/>
        </w:rPr>
      </w:pPr>
    </w:p>
    <w:p w14:paraId="566B99A7" w14:textId="77777777" w:rsidR="00BF3B4F" w:rsidRPr="001C6A26" w:rsidRDefault="00BF3B4F">
      <w:pPr>
        <w:rPr>
          <w:rFonts w:asciiTheme="minorHAnsi" w:eastAsia="Calibri" w:hAnsiTheme="minorHAnsi"/>
        </w:rPr>
      </w:pPr>
    </w:p>
    <w:p w14:paraId="78F285D7" w14:textId="77777777" w:rsidR="00BF3B4F" w:rsidRPr="001C6A26" w:rsidRDefault="001C6A26">
      <w:pPr>
        <w:rPr>
          <w:rFonts w:asciiTheme="minorHAnsi" w:eastAsia="Calibri" w:hAnsiTheme="minorHAnsi"/>
          <w:spacing w:val="-10"/>
          <w:kern w:val="28"/>
          <w:sz w:val="56"/>
        </w:rPr>
      </w:pPr>
      <w:r w:rsidRPr="001C6A26">
        <w:rPr>
          <w:rFonts w:asciiTheme="minorHAnsi" w:hAnsiTheme="minorHAnsi"/>
        </w:rPr>
        <w:br w:type="page"/>
      </w:r>
    </w:p>
    <w:p w14:paraId="0B0571B5" w14:textId="77777777" w:rsidR="00BF3B4F" w:rsidRPr="001C6A26" w:rsidRDefault="001C6A26">
      <w:pPr>
        <w:pStyle w:val="Title"/>
        <w:rPr>
          <w:rFonts w:asciiTheme="minorHAnsi" w:hAnsiTheme="minorHAnsi"/>
        </w:rPr>
      </w:pPr>
      <w:r w:rsidRPr="001C6A26">
        <w:rPr>
          <w:rFonts w:asciiTheme="minorHAnsi" w:hAnsiTheme="minorHAnsi"/>
        </w:rPr>
        <w:lastRenderedPageBreak/>
        <w:t>Supplemental Data</w:t>
      </w:r>
    </w:p>
    <w:p w14:paraId="6AE7F61B" w14:textId="77777777" w:rsidR="00BF3B4F" w:rsidRPr="001C6A26" w:rsidRDefault="00BF3B4F">
      <w:pPr>
        <w:rPr>
          <w:rFonts w:asciiTheme="minorHAnsi" w:eastAsia="Calibri" w:hAnsiTheme="minorHAnsi"/>
        </w:rPr>
      </w:pPr>
    </w:p>
    <w:p w14:paraId="5FD96357" w14:textId="77777777" w:rsidR="00BF3B4F" w:rsidRPr="001C6A26" w:rsidRDefault="001C6A26">
      <w:pPr>
        <w:pStyle w:val="Heading1"/>
        <w:rPr>
          <w:rFonts w:asciiTheme="minorHAnsi" w:hAnsiTheme="minorHAnsi"/>
          <w:b/>
          <w:color w:val="FF0000"/>
        </w:rPr>
      </w:pPr>
      <w:r w:rsidRPr="001C6A26">
        <w:rPr>
          <w:rFonts w:asciiTheme="minorHAnsi" w:hAnsiTheme="minorHAnsi"/>
        </w:rPr>
        <w:t>Appendix A: AZ SEIR Model1 Details</w:t>
      </w:r>
    </w:p>
    <w:p w14:paraId="31C4F26C" w14:textId="77777777" w:rsidR="00BF3B4F" w:rsidRPr="001C6A26" w:rsidRDefault="001C6A26">
      <w:pPr>
        <w:rPr>
          <w:rFonts w:asciiTheme="minorHAnsi" w:eastAsia="Calibri" w:hAnsiTheme="minorHAnsi"/>
        </w:rPr>
      </w:pPr>
      <w:r w:rsidRPr="001C6A26">
        <w:rPr>
          <w:rFonts w:asciiTheme="minorHAnsi" w:eastAsia="Calibri" w:hAnsiTheme="minorHAnsi"/>
        </w:rPr>
        <w:t>We consider two values, 0.30 and 0.25 for the transmission rate</w:t>
      </w:r>
      <w:r w:rsidRPr="001C6A26">
        <w:rPr>
          <w:rFonts w:asciiTheme="minorHAnsi" w:eastAsia="Calibri" w:hAnsiTheme="minorHAnsi"/>
          <w:i/>
        </w:rPr>
        <w:t xml:space="preserve">. </w:t>
      </w:r>
      <w:r w:rsidRPr="001C6A26">
        <w:rPr>
          <w:rFonts w:asciiTheme="minorHAnsi" w:eastAsia="Calibri" w:hAnsiTheme="minorHAnsi"/>
        </w:rPr>
        <w:t xml:space="preserve">Asymptomatic and </w:t>
      </w:r>
      <w:proofErr w:type="spellStart"/>
      <w:r w:rsidRPr="001C6A26">
        <w:rPr>
          <w:rFonts w:asciiTheme="minorHAnsi" w:eastAsia="Calibri" w:hAnsiTheme="minorHAnsi"/>
        </w:rPr>
        <w:t>presymptomatic</w:t>
      </w:r>
      <w:proofErr w:type="spellEnd"/>
      <w:r w:rsidRPr="001C6A26">
        <w:rPr>
          <w:rFonts w:asciiTheme="minorHAnsi" w:eastAsia="Calibri" w:hAnsiTheme="minorHAnsi"/>
        </w:rPr>
        <w:t xml:space="preserve"> patients transmit at a rate that is equal to 55% of the transmission rate of symptomatic patients. Similarly, we assumed that patients isolated in their homes or in ICU transmit at a lowered rate that is equal to 20% of the transmission rate of symptomatic patients.  The differential equations that correspond to the model are as follows:</w:t>
      </w:r>
    </w:p>
    <w:p w14:paraId="6B94EFB3" w14:textId="77777777" w:rsidR="00BF3B4F" w:rsidRPr="001C6A26" w:rsidRDefault="00BF3B4F">
      <w:pPr>
        <w:rPr>
          <w:rFonts w:asciiTheme="minorHAnsi" w:eastAsia="Calibri" w:hAnsiTheme="minorHAnsi"/>
        </w:rPr>
      </w:pPr>
    </w:p>
    <w:p w14:paraId="01DA6195" w14:textId="77777777" w:rsidR="4D3E24F2" w:rsidRDefault="4D3E24F2" w:rsidP="4D3E24F2">
      <w:pPr>
        <w:jc w:val="center"/>
        <w:rPr>
          <w:rFonts w:asciiTheme="minorHAnsi" w:eastAsiaTheme="minorEastAsia" w:hAnsiTheme="minorHAnsi" w:cstheme="minorHAnsi"/>
        </w:rPr>
      </w:pPr>
      <w:r w:rsidRPr="00853A92">
        <w:rPr>
          <w:rFonts w:asciiTheme="minorHAnsi" w:hAnsiTheme="minorHAnsi" w:cstheme="minorHAnsi"/>
          <w:noProof/>
        </w:rPr>
        <w:drawing>
          <wp:inline distT="0" distB="0" distL="0" distR="0" wp14:anchorId="31DE4581" wp14:editId="371D3E6F">
            <wp:extent cx="5943600" cy="2480945"/>
            <wp:effectExtent l="0" t="0" r="0" b="0"/>
            <wp:docPr id="1857428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43600" cy="2480945"/>
                    </a:xfrm>
                    <a:prstGeom prst="rect">
                      <a:avLst/>
                    </a:prstGeom>
                  </pic:spPr>
                </pic:pic>
              </a:graphicData>
            </a:graphic>
          </wp:inline>
        </w:drawing>
      </w:r>
    </w:p>
    <w:p w14:paraId="1D08D0CA" w14:textId="77777777" w:rsidR="00BF3B4F" w:rsidRPr="001C6A26" w:rsidRDefault="00BF3B4F">
      <w:pPr>
        <w:jc w:val="center"/>
        <w:rPr>
          <w:rFonts w:asciiTheme="minorHAnsi" w:eastAsia="Calibri" w:hAnsiTheme="minorHAnsi"/>
        </w:rPr>
      </w:pPr>
    </w:p>
    <w:p w14:paraId="763E99B7" w14:textId="77777777" w:rsidR="00BF3B4F" w:rsidRPr="001C6A26" w:rsidRDefault="001C6A26">
      <w:pPr>
        <w:rPr>
          <w:rFonts w:asciiTheme="minorHAnsi" w:eastAsia="Calibri" w:hAnsiTheme="minorHAnsi"/>
        </w:rPr>
      </w:pPr>
      <w:r w:rsidRPr="001C6A26">
        <w:rPr>
          <w:rFonts w:asciiTheme="minorHAnsi" w:eastAsia="Calibri" w:hAnsiTheme="minorHAnsi"/>
        </w:rPr>
        <w:t xml:space="preserve">where the parameters are set as </w:t>
      </w:r>
    </w:p>
    <w:p w14:paraId="77F0E743" w14:textId="77777777" w:rsidR="4D3E24F2" w:rsidRPr="00853A92" w:rsidRDefault="4D3E24F2" w:rsidP="4D3E24F2">
      <w:pPr>
        <w:jc w:val="center"/>
        <w:rPr>
          <w:rFonts w:asciiTheme="minorHAnsi" w:eastAsiaTheme="minorEastAsia" w:hAnsiTheme="minorHAnsi" w:cstheme="minorHAnsi"/>
        </w:rPr>
      </w:pPr>
      <w:r w:rsidRPr="00853A92">
        <w:rPr>
          <w:rFonts w:asciiTheme="minorHAnsi" w:hAnsiTheme="minorHAnsi" w:cstheme="minorHAnsi"/>
          <w:noProof/>
        </w:rPr>
        <w:drawing>
          <wp:inline distT="0" distB="0" distL="0" distR="0" wp14:anchorId="3B3FC32E" wp14:editId="182F7D93">
            <wp:extent cx="3920067" cy="494423"/>
            <wp:effectExtent l="0" t="0" r="0" b="1270"/>
            <wp:docPr id="2355969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4">
                      <a:extLst>
                        <a:ext uri="{28A0092B-C50C-407E-A947-70E740481C1C}">
                          <a14:useLocalDpi xmlns:a14="http://schemas.microsoft.com/office/drawing/2010/main" val="0"/>
                        </a:ext>
                      </a:extLst>
                    </a:blip>
                    <a:stretch>
                      <a:fillRect/>
                    </a:stretch>
                  </pic:blipFill>
                  <pic:spPr>
                    <a:xfrm>
                      <a:off x="0" y="0"/>
                      <a:ext cx="3920067" cy="494423"/>
                    </a:xfrm>
                    <a:prstGeom prst="rect">
                      <a:avLst/>
                    </a:prstGeom>
                  </pic:spPr>
                </pic:pic>
              </a:graphicData>
            </a:graphic>
          </wp:inline>
        </w:drawing>
      </w:r>
    </w:p>
    <w:p w14:paraId="6FE4E55B" w14:textId="77777777" w:rsidR="4D3E24F2" w:rsidRPr="00853A92" w:rsidRDefault="4D3E24F2" w:rsidP="4D3E24F2">
      <w:pPr>
        <w:rPr>
          <w:rFonts w:asciiTheme="minorHAnsi" w:eastAsiaTheme="minorEastAsia" w:hAnsiTheme="minorHAnsi" w:cstheme="minorHAnsi"/>
        </w:rPr>
      </w:pPr>
    </w:p>
    <w:p w14:paraId="09921DDF" w14:textId="77777777" w:rsidR="00BF3B4F" w:rsidRPr="001C6A26" w:rsidRDefault="00BF3B4F">
      <w:pPr>
        <w:rPr>
          <w:rFonts w:asciiTheme="minorHAnsi" w:eastAsia="Calibri" w:hAnsiTheme="minorHAnsi"/>
        </w:rPr>
      </w:pPr>
    </w:p>
    <w:p w14:paraId="4590AA09" w14:textId="77777777" w:rsidR="00BF3B4F" w:rsidRPr="001C6A26" w:rsidRDefault="00BF3B4F">
      <w:pPr>
        <w:rPr>
          <w:rFonts w:asciiTheme="minorHAnsi" w:eastAsia="Calibri" w:hAnsiTheme="minorHAnsi"/>
        </w:rPr>
      </w:pPr>
    </w:p>
    <w:p w14:paraId="59D7F3AF" w14:textId="77777777" w:rsidR="00BF3B4F" w:rsidRPr="001C6A26" w:rsidRDefault="001C6A26">
      <w:pPr>
        <w:rPr>
          <w:rFonts w:asciiTheme="minorHAnsi" w:eastAsia="Calibri" w:hAnsiTheme="minorHAnsi"/>
          <w:color w:val="2F5496" w:themeColor="accent1" w:themeShade="BF"/>
          <w:sz w:val="32"/>
        </w:rPr>
      </w:pPr>
      <w:r w:rsidRPr="001C6A26">
        <w:rPr>
          <w:rFonts w:asciiTheme="minorHAnsi" w:hAnsiTheme="minorHAnsi"/>
        </w:rPr>
        <w:br w:type="page"/>
      </w:r>
    </w:p>
    <w:p w14:paraId="4CAC674D" w14:textId="77777777" w:rsidR="00BF3B4F" w:rsidRPr="001C6A26" w:rsidRDefault="001C6A26">
      <w:pPr>
        <w:pStyle w:val="Heading1"/>
        <w:rPr>
          <w:rFonts w:asciiTheme="minorHAnsi" w:hAnsiTheme="minorHAnsi"/>
        </w:rPr>
      </w:pPr>
      <w:r w:rsidRPr="001C6A26">
        <w:rPr>
          <w:rFonts w:asciiTheme="minorHAnsi" w:hAnsiTheme="minorHAnsi"/>
        </w:rPr>
        <w:lastRenderedPageBreak/>
        <w:t>References:</w:t>
      </w:r>
    </w:p>
    <w:p w14:paraId="0D03CFF0" w14:textId="77777777" w:rsidR="00BF3B4F" w:rsidRPr="001C6A26" w:rsidRDefault="00BF3B4F">
      <w:pPr>
        <w:rPr>
          <w:rFonts w:asciiTheme="minorHAnsi" w:eastAsia="Calibri" w:hAnsiTheme="minorHAnsi"/>
        </w:rPr>
      </w:pPr>
    </w:p>
    <w:p w14:paraId="664CF14B"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Cai, J., Sun, W., Huang, J., </w:t>
      </w:r>
      <w:proofErr w:type="spellStart"/>
      <w:r w:rsidRPr="001C6A26">
        <w:rPr>
          <w:rFonts w:asciiTheme="minorHAnsi" w:eastAsia="Calibri" w:hAnsiTheme="minorHAnsi"/>
          <w:sz w:val="22"/>
        </w:rPr>
        <w:t>Gamber</w:t>
      </w:r>
      <w:proofErr w:type="spellEnd"/>
      <w:r w:rsidRPr="001C6A26">
        <w:rPr>
          <w:rFonts w:asciiTheme="minorHAnsi" w:eastAsia="Calibri" w:hAnsiTheme="minorHAnsi"/>
          <w:sz w:val="22"/>
        </w:rPr>
        <w:t xml:space="preserve">, M., Wu, J., &amp; He, G. (2020). Indirect Virus Transmission in Cluster of COVID-19 Cases, Wenzhou, China, 2020. </w:t>
      </w:r>
      <w:r w:rsidRPr="001C6A26">
        <w:rPr>
          <w:rFonts w:asciiTheme="minorHAnsi" w:eastAsia="Calibri" w:hAnsiTheme="minorHAnsi"/>
          <w:i/>
          <w:sz w:val="22"/>
        </w:rPr>
        <w:t>Emerging infectious diseases</w:t>
      </w:r>
      <w:r w:rsidRPr="001C6A26">
        <w:rPr>
          <w:rFonts w:asciiTheme="minorHAnsi" w:eastAsia="Calibri" w:hAnsiTheme="minorHAnsi"/>
          <w:sz w:val="22"/>
        </w:rPr>
        <w:t xml:space="preserve">, </w:t>
      </w:r>
      <w:r w:rsidRPr="001C6A26">
        <w:rPr>
          <w:rFonts w:asciiTheme="minorHAnsi" w:eastAsia="Calibri" w:hAnsiTheme="minorHAnsi"/>
          <w:i/>
          <w:sz w:val="22"/>
        </w:rPr>
        <w:t>26</w:t>
      </w:r>
      <w:r w:rsidRPr="001C6A26">
        <w:rPr>
          <w:rFonts w:asciiTheme="minorHAnsi" w:eastAsia="Calibri" w:hAnsiTheme="minorHAnsi"/>
          <w:sz w:val="22"/>
        </w:rPr>
        <w:t>(6).</w:t>
      </w:r>
    </w:p>
    <w:p w14:paraId="30D1B28C" w14:textId="77777777" w:rsidR="00BF3B4F" w:rsidRPr="001C6A26" w:rsidRDefault="00171B77">
      <w:pPr>
        <w:rPr>
          <w:rFonts w:asciiTheme="minorHAnsi" w:eastAsia="Calibri" w:hAnsiTheme="minorHAnsi"/>
        </w:rPr>
      </w:pPr>
      <w:hyperlink r:id="rId45">
        <w:r w:rsidR="001C6A26" w:rsidRPr="001C6A26">
          <w:rPr>
            <w:rStyle w:val="Hyperlink"/>
            <w:rFonts w:asciiTheme="minorHAnsi" w:eastAsia="Calibri" w:hAnsiTheme="minorHAnsi"/>
            <w:sz w:val="22"/>
          </w:rPr>
          <w:t>https://doi.org/10.3201/eid2606.200412</w:t>
        </w:r>
      </w:hyperlink>
    </w:p>
    <w:p w14:paraId="77BB78B3" w14:textId="77777777" w:rsidR="00BF3B4F" w:rsidRPr="001C6A26" w:rsidRDefault="00BF3B4F">
      <w:pPr>
        <w:rPr>
          <w:rFonts w:asciiTheme="minorHAnsi" w:eastAsia="Calibri" w:hAnsiTheme="minorHAnsi"/>
        </w:rPr>
      </w:pPr>
    </w:p>
    <w:p w14:paraId="6E12750B"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CDC COVID-19 Response Team. (2020). Severe Outcomes Among Patients with Coronavirus Disease 2019 (COVID-19) - United States, February 12-March 16, 2020. </w:t>
      </w:r>
      <w:r w:rsidRPr="001C6A26">
        <w:rPr>
          <w:rFonts w:asciiTheme="minorHAnsi" w:eastAsia="Calibri" w:hAnsiTheme="minorHAnsi"/>
          <w:i/>
          <w:sz w:val="22"/>
        </w:rPr>
        <w:t>MMWR. Morbidity and Mortality Weekly Report</w:t>
      </w:r>
      <w:r w:rsidRPr="001C6A26">
        <w:rPr>
          <w:rFonts w:asciiTheme="minorHAnsi" w:eastAsia="Calibri" w:hAnsiTheme="minorHAnsi"/>
          <w:sz w:val="22"/>
        </w:rPr>
        <w:t xml:space="preserve">, </w:t>
      </w:r>
      <w:r w:rsidRPr="001C6A26">
        <w:rPr>
          <w:rFonts w:asciiTheme="minorHAnsi" w:eastAsia="Calibri" w:hAnsiTheme="minorHAnsi"/>
          <w:i/>
          <w:sz w:val="22"/>
        </w:rPr>
        <w:t>69</w:t>
      </w:r>
      <w:r w:rsidRPr="001C6A26">
        <w:rPr>
          <w:rFonts w:asciiTheme="minorHAnsi" w:eastAsia="Calibri" w:hAnsiTheme="minorHAnsi"/>
          <w:sz w:val="22"/>
        </w:rPr>
        <w:t>(12), 343–346.</w:t>
      </w:r>
    </w:p>
    <w:p w14:paraId="55211750" w14:textId="77777777" w:rsidR="00BF3B4F" w:rsidRPr="001C6A26" w:rsidRDefault="00BF3B4F">
      <w:pPr>
        <w:rPr>
          <w:rFonts w:asciiTheme="minorHAnsi" w:eastAsia="Calibri" w:hAnsiTheme="minorHAnsi"/>
        </w:rPr>
      </w:pPr>
    </w:p>
    <w:p w14:paraId="71883CB0"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Chen, J., Qi, T., Liu, L., Ling, Y., Qian, Z., Li, T., Li, F., Xu, Q., Zhang, Y., Xu, S., Song, Z., Zeng, Y., Shen, Y., Shi, Y., Zhu, T., &amp; Lu, H. (2020). Clinical progression of patients with COVID-19 in Shanghai, China. </w:t>
      </w:r>
      <w:r w:rsidRPr="001C6A26">
        <w:rPr>
          <w:rFonts w:asciiTheme="minorHAnsi" w:eastAsia="Calibri" w:hAnsiTheme="minorHAnsi"/>
          <w:i/>
          <w:sz w:val="22"/>
        </w:rPr>
        <w:t>The Journal of Infection</w:t>
      </w:r>
      <w:r w:rsidRPr="001C6A26">
        <w:rPr>
          <w:rFonts w:asciiTheme="minorHAnsi" w:eastAsia="Calibri" w:hAnsiTheme="minorHAnsi"/>
          <w:sz w:val="22"/>
        </w:rPr>
        <w:t xml:space="preserve">. </w:t>
      </w:r>
      <w:hyperlink r:id="rId46">
        <w:r w:rsidRPr="001C6A26">
          <w:rPr>
            <w:rStyle w:val="Hyperlink"/>
            <w:rFonts w:asciiTheme="minorHAnsi" w:eastAsia="Calibri" w:hAnsiTheme="minorHAnsi"/>
            <w:sz w:val="22"/>
          </w:rPr>
          <w:t>https://doi.org/10.1016/j.jinf.2020.03.004</w:t>
        </w:r>
      </w:hyperlink>
    </w:p>
    <w:p w14:paraId="128D29F8"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4C8FD6A6"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Ferguson, N., </w:t>
      </w:r>
      <w:proofErr w:type="spellStart"/>
      <w:r w:rsidRPr="001C6A26">
        <w:rPr>
          <w:rFonts w:asciiTheme="minorHAnsi" w:eastAsia="Calibri" w:hAnsiTheme="minorHAnsi"/>
          <w:sz w:val="22"/>
        </w:rPr>
        <w:t>Laydon</w:t>
      </w:r>
      <w:proofErr w:type="spellEnd"/>
      <w:r w:rsidRPr="001C6A26">
        <w:rPr>
          <w:rFonts w:asciiTheme="minorHAnsi" w:eastAsia="Calibri" w:hAnsiTheme="minorHAnsi"/>
          <w:sz w:val="22"/>
        </w:rPr>
        <w:t xml:space="preserve">, D., </w:t>
      </w:r>
      <w:proofErr w:type="spellStart"/>
      <w:r w:rsidRPr="001C6A26">
        <w:rPr>
          <w:rFonts w:asciiTheme="minorHAnsi" w:eastAsia="Calibri" w:hAnsiTheme="minorHAnsi"/>
          <w:sz w:val="22"/>
        </w:rPr>
        <w:t>Nedjati</w:t>
      </w:r>
      <w:proofErr w:type="spellEnd"/>
      <w:r w:rsidRPr="001C6A26">
        <w:rPr>
          <w:rFonts w:asciiTheme="minorHAnsi" w:eastAsia="Calibri" w:hAnsiTheme="minorHAnsi"/>
          <w:sz w:val="22"/>
        </w:rPr>
        <w:t xml:space="preserve"> Gilani, G., Imai, N., Ainslie, K., </w:t>
      </w:r>
      <w:proofErr w:type="spellStart"/>
      <w:r w:rsidRPr="001C6A26">
        <w:rPr>
          <w:rFonts w:asciiTheme="minorHAnsi" w:eastAsia="Calibri" w:hAnsiTheme="minorHAnsi"/>
          <w:sz w:val="22"/>
        </w:rPr>
        <w:t>Baguelin</w:t>
      </w:r>
      <w:proofErr w:type="spellEnd"/>
      <w:r w:rsidRPr="001C6A26">
        <w:rPr>
          <w:rFonts w:asciiTheme="minorHAnsi" w:eastAsia="Calibri" w:hAnsiTheme="minorHAnsi"/>
          <w:sz w:val="22"/>
        </w:rPr>
        <w:t xml:space="preserve">, M., ... &amp; </w:t>
      </w:r>
      <w:proofErr w:type="spellStart"/>
      <w:r w:rsidRPr="001C6A26">
        <w:rPr>
          <w:rFonts w:asciiTheme="minorHAnsi" w:eastAsia="Calibri" w:hAnsiTheme="minorHAnsi"/>
          <w:sz w:val="22"/>
        </w:rPr>
        <w:t>Dighe</w:t>
      </w:r>
      <w:proofErr w:type="spellEnd"/>
      <w:r w:rsidRPr="001C6A26">
        <w:rPr>
          <w:rFonts w:asciiTheme="minorHAnsi" w:eastAsia="Calibri" w:hAnsiTheme="minorHAnsi"/>
          <w:sz w:val="22"/>
        </w:rPr>
        <w:t>, A. (2020). Report 9: Impact of non-pharmaceutical interventions (NPIs) to reduce COVID19 mortality and healthcare demand.</w:t>
      </w:r>
    </w:p>
    <w:p w14:paraId="452A8A0D"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hyperlink r:id="rId47">
        <w:r w:rsidRPr="001C6A26">
          <w:rPr>
            <w:rStyle w:val="Hyperlink"/>
            <w:rFonts w:asciiTheme="minorHAnsi" w:eastAsia="Calibri" w:hAnsiTheme="minorHAnsi"/>
            <w:sz w:val="22"/>
          </w:rPr>
          <w:t>https://doi.org/10.25561/77482</w:t>
        </w:r>
      </w:hyperlink>
    </w:p>
    <w:p w14:paraId="0BFEF635"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4F380ECB"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sz w:val="22"/>
        </w:rPr>
        <w:t>Grasselli</w:t>
      </w:r>
      <w:proofErr w:type="spellEnd"/>
      <w:r w:rsidRPr="001C6A26">
        <w:rPr>
          <w:rFonts w:asciiTheme="minorHAnsi" w:eastAsia="Calibri" w:hAnsiTheme="minorHAnsi"/>
          <w:sz w:val="22"/>
        </w:rPr>
        <w:t xml:space="preserve">, G., </w:t>
      </w:r>
      <w:proofErr w:type="spellStart"/>
      <w:r w:rsidRPr="001C6A26">
        <w:rPr>
          <w:rFonts w:asciiTheme="minorHAnsi" w:eastAsia="Calibri" w:hAnsiTheme="minorHAnsi"/>
          <w:sz w:val="22"/>
        </w:rPr>
        <w:t>Pesenti</w:t>
      </w:r>
      <w:proofErr w:type="spellEnd"/>
      <w:r w:rsidRPr="001C6A26">
        <w:rPr>
          <w:rFonts w:asciiTheme="minorHAnsi" w:eastAsia="Calibri" w:hAnsiTheme="minorHAnsi"/>
          <w:sz w:val="22"/>
        </w:rPr>
        <w:t xml:space="preserve">, A., &amp; </w:t>
      </w:r>
      <w:proofErr w:type="spellStart"/>
      <w:r w:rsidRPr="001C6A26">
        <w:rPr>
          <w:rFonts w:asciiTheme="minorHAnsi" w:eastAsia="Calibri" w:hAnsiTheme="minorHAnsi"/>
          <w:sz w:val="22"/>
        </w:rPr>
        <w:t>Cecconi</w:t>
      </w:r>
      <w:proofErr w:type="spellEnd"/>
      <w:r w:rsidRPr="001C6A26">
        <w:rPr>
          <w:rFonts w:asciiTheme="minorHAnsi" w:eastAsia="Calibri" w:hAnsiTheme="minorHAnsi"/>
          <w:sz w:val="22"/>
        </w:rPr>
        <w:t xml:space="preserve">, M. (2020). Critical Care Utilization for the COVID-19 Outbreak in Lombardy, Italy: Early Experience and Forecast During an Emergency Response. </w:t>
      </w:r>
      <w:r w:rsidRPr="001C6A26">
        <w:rPr>
          <w:rFonts w:asciiTheme="minorHAnsi" w:eastAsia="Calibri" w:hAnsiTheme="minorHAnsi"/>
          <w:i/>
          <w:sz w:val="22"/>
        </w:rPr>
        <w:t>JAMA: The Journal of the American Medical Association</w:t>
      </w:r>
      <w:r w:rsidRPr="001C6A26">
        <w:rPr>
          <w:rFonts w:asciiTheme="minorHAnsi" w:eastAsia="Calibri" w:hAnsiTheme="minorHAnsi"/>
          <w:sz w:val="22"/>
        </w:rPr>
        <w:t xml:space="preserve">. </w:t>
      </w:r>
      <w:hyperlink r:id="rId48">
        <w:r w:rsidRPr="001C6A26">
          <w:rPr>
            <w:rStyle w:val="Hyperlink"/>
            <w:rFonts w:asciiTheme="minorHAnsi" w:eastAsia="Calibri" w:hAnsiTheme="minorHAnsi"/>
            <w:sz w:val="22"/>
          </w:rPr>
          <w:t>https://doi.org/10.1001/jama.2020.4031</w:t>
        </w:r>
      </w:hyperlink>
    </w:p>
    <w:p w14:paraId="349C5CC9"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6DA05918"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Guan, W.-J., Ni, Z.-Y., Hu, Y., Liang, W.-H., </w:t>
      </w:r>
      <w:proofErr w:type="spellStart"/>
      <w:r w:rsidRPr="001C6A26">
        <w:rPr>
          <w:rFonts w:asciiTheme="minorHAnsi" w:eastAsia="Calibri" w:hAnsiTheme="minorHAnsi"/>
          <w:sz w:val="22"/>
        </w:rPr>
        <w:t>Ou</w:t>
      </w:r>
      <w:proofErr w:type="spellEnd"/>
      <w:r w:rsidRPr="001C6A26">
        <w:rPr>
          <w:rFonts w:asciiTheme="minorHAnsi" w:eastAsia="Calibri" w:hAnsiTheme="minorHAnsi"/>
          <w:sz w:val="22"/>
        </w:rPr>
        <w:t xml:space="preserve">, C.-Q., He, J.-X., Liu, L., Shan, H., Lei, C.-L., Hui, D. S. C., Du, B., Li, L.-J., Zeng, G., Yuen, K.-Y., Chen, R.-C., Tang, C.-L., Wang, T., Chen, P.-Y., Xiang, J., … China Medical Treatment Expert Group for Covid-19. (2020). Clinical Characteristics of Coronavirus Disease 2019 in China. </w:t>
      </w:r>
      <w:r w:rsidRPr="001C6A26">
        <w:rPr>
          <w:rFonts w:asciiTheme="minorHAnsi" w:eastAsia="Calibri" w:hAnsiTheme="minorHAnsi"/>
          <w:i/>
          <w:sz w:val="22"/>
        </w:rPr>
        <w:t>The New England Journal of Medicine</w:t>
      </w:r>
      <w:r w:rsidRPr="001C6A26">
        <w:rPr>
          <w:rFonts w:asciiTheme="minorHAnsi" w:eastAsia="Calibri" w:hAnsiTheme="minorHAnsi"/>
          <w:sz w:val="22"/>
        </w:rPr>
        <w:t xml:space="preserve">. </w:t>
      </w:r>
      <w:hyperlink r:id="rId49">
        <w:r w:rsidRPr="001C6A26">
          <w:rPr>
            <w:rStyle w:val="Hyperlink"/>
            <w:rFonts w:asciiTheme="minorHAnsi" w:eastAsia="Calibri" w:hAnsiTheme="minorHAnsi"/>
            <w:sz w:val="22"/>
          </w:rPr>
          <w:t>https://doi.org/10.1056/NEJMoa2002032</w:t>
        </w:r>
      </w:hyperlink>
    </w:p>
    <w:p w14:paraId="3B86D1E6"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3E2F38D9"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Kimball, A., Hatfield, K. M., </w:t>
      </w:r>
      <w:proofErr w:type="spellStart"/>
      <w:r w:rsidRPr="001C6A26">
        <w:rPr>
          <w:rFonts w:asciiTheme="minorHAnsi" w:eastAsia="Calibri" w:hAnsiTheme="minorHAnsi"/>
          <w:sz w:val="22"/>
        </w:rPr>
        <w:t>Arons</w:t>
      </w:r>
      <w:proofErr w:type="spellEnd"/>
      <w:r w:rsidRPr="001C6A26">
        <w:rPr>
          <w:rFonts w:asciiTheme="minorHAnsi" w:eastAsia="Calibri" w:hAnsiTheme="minorHAnsi"/>
          <w:sz w:val="22"/>
        </w:rPr>
        <w:t xml:space="preserve">, M., James, A., Taylor, J., Spicer, K., ... &amp; Bell, J. M. (2020). Asymptomatic and </w:t>
      </w:r>
      <w:proofErr w:type="spellStart"/>
      <w:r w:rsidRPr="001C6A26">
        <w:rPr>
          <w:rFonts w:asciiTheme="minorHAnsi" w:eastAsia="Calibri" w:hAnsiTheme="minorHAnsi"/>
          <w:sz w:val="22"/>
        </w:rPr>
        <w:t>presymptomatic</w:t>
      </w:r>
      <w:proofErr w:type="spellEnd"/>
      <w:r w:rsidRPr="001C6A26">
        <w:rPr>
          <w:rFonts w:asciiTheme="minorHAnsi" w:eastAsia="Calibri" w:hAnsiTheme="minorHAnsi"/>
          <w:sz w:val="22"/>
        </w:rPr>
        <w:t xml:space="preserve"> SARS-CoV-2 infections in residents of a long-term care skilled nursing facility—King County, Washington, March 2020.  </w:t>
      </w:r>
    </w:p>
    <w:p w14:paraId="34A4C3EF" w14:textId="77777777" w:rsidR="00BF3B4F" w:rsidRPr="001C6A26" w:rsidRDefault="00171B77">
      <w:pPr>
        <w:rPr>
          <w:rFonts w:asciiTheme="minorHAnsi" w:eastAsia="Calibri" w:hAnsiTheme="minorHAnsi"/>
        </w:rPr>
      </w:pPr>
      <w:hyperlink r:id="rId50">
        <w:r w:rsidR="001C6A26" w:rsidRPr="001C6A26">
          <w:rPr>
            <w:rStyle w:val="Hyperlink"/>
            <w:rFonts w:asciiTheme="minorHAnsi" w:eastAsia="Calibri" w:hAnsiTheme="minorHAnsi"/>
            <w:sz w:val="22"/>
          </w:rPr>
          <w:t>https://doi.org/10.15585/mmwr.mm6913e1</w:t>
        </w:r>
      </w:hyperlink>
    </w:p>
    <w:p w14:paraId="2FFD7F44"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2B082C92"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Lauer, S. A., </w:t>
      </w:r>
      <w:proofErr w:type="spellStart"/>
      <w:r w:rsidRPr="001C6A26">
        <w:rPr>
          <w:rFonts w:asciiTheme="minorHAnsi" w:eastAsia="Calibri" w:hAnsiTheme="minorHAnsi"/>
          <w:sz w:val="22"/>
        </w:rPr>
        <w:t>Grantz</w:t>
      </w:r>
      <w:proofErr w:type="spellEnd"/>
      <w:r w:rsidRPr="001C6A26">
        <w:rPr>
          <w:rFonts w:asciiTheme="minorHAnsi" w:eastAsia="Calibri" w:hAnsiTheme="minorHAnsi"/>
          <w:sz w:val="22"/>
        </w:rPr>
        <w:t xml:space="preserve">, K. H., Bi, Q., Jones, F. K., Zheng, Q., Meredith, H. R., Azman, A. S., Reich, N. G., &amp; </w:t>
      </w:r>
      <w:proofErr w:type="spellStart"/>
      <w:r w:rsidRPr="001C6A26">
        <w:rPr>
          <w:rFonts w:asciiTheme="minorHAnsi" w:eastAsia="Calibri" w:hAnsiTheme="minorHAnsi"/>
          <w:sz w:val="22"/>
        </w:rPr>
        <w:t>Lessler</w:t>
      </w:r>
      <w:proofErr w:type="spellEnd"/>
      <w:r w:rsidRPr="001C6A26">
        <w:rPr>
          <w:rFonts w:asciiTheme="minorHAnsi" w:eastAsia="Calibri" w:hAnsiTheme="minorHAnsi"/>
          <w:sz w:val="22"/>
        </w:rPr>
        <w:t xml:space="preserve">, J. (2020). The Incubation Period of Coronavirus Disease 2019 (COVID-19) From Publicly Reported Confirmed Cases: Estimation and Application. </w:t>
      </w:r>
      <w:r w:rsidRPr="001C6A26">
        <w:rPr>
          <w:rFonts w:asciiTheme="minorHAnsi" w:eastAsia="Calibri" w:hAnsiTheme="minorHAnsi"/>
          <w:i/>
          <w:sz w:val="22"/>
        </w:rPr>
        <w:t>Annals of Internal Medicine</w:t>
      </w:r>
      <w:r w:rsidRPr="001C6A26">
        <w:rPr>
          <w:rFonts w:asciiTheme="minorHAnsi" w:eastAsia="Calibri" w:hAnsiTheme="minorHAnsi"/>
          <w:sz w:val="22"/>
        </w:rPr>
        <w:t xml:space="preserve">. </w:t>
      </w:r>
      <w:hyperlink r:id="rId51">
        <w:r w:rsidRPr="001C6A26">
          <w:rPr>
            <w:rStyle w:val="Hyperlink"/>
            <w:rFonts w:asciiTheme="minorHAnsi" w:eastAsia="Calibri" w:hAnsiTheme="minorHAnsi"/>
            <w:sz w:val="22"/>
          </w:rPr>
          <w:t>https://doi.org/10.7326/M20-0504</w:t>
        </w:r>
      </w:hyperlink>
    </w:p>
    <w:p w14:paraId="73A2A0D9"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41018D6F"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Li, Q., Guan, X., Wu, P., Wang, X., Zhou, L., Tong, Y., Ren, R., Leung, K. S. M., Lau, E. H. Y., Wong, J. Y., Xing, X., Xiang, N., Wu, Y., Li, C., Chen, Q., Li, D., Liu, T., Zhao, J., Liu, M., … Feng, Z. (2020). Early Transmission Dynamics in Wuhan, China, of Novel Coronavirus-Infected Pneumonia. </w:t>
      </w:r>
      <w:r w:rsidRPr="001C6A26">
        <w:rPr>
          <w:rFonts w:asciiTheme="minorHAnsi" w:eastAsia="Calibri" w:hAnsiTheme="minorHAnsi"/>
          <w:i/>
          <w:sz w:val="22"/>
        </w:rPr>
        <w:t>The New England Journal of Medicine</w:t>
      </w:r>
      <w:r w:rsidRPr="001C6A26">
        <w:rPr>
          <w:rFonts w:asciiTheme="minorHAnsi" w:eastAsia="Calibri" w:hAnsiTheme="minorHAnsi"/>
          <w:sz w:val="22"/>
        </w:rPr>
        <w:t xml:space="preserve">, </w:t>
      </w:r>
      <w:r w:rsidRPr="001C6A26">
        <w:rPr>
          <w:rFonts w:asciiTheme="minorHAnsi" w:eastAsia="Calibri" w:hAnsiTheme="minorHAnsi"/>
          <w:i/>
          <w:sz w:val="22"/>
        </w:rPr>
        <w:t>382</w:t>
      </w:r>
      <w:r w:rsidRPr="001C6A26">
        <w:rPr>
          <w:rFonts w:asciiTheme="minorHAnsi" w:eastAsia="Calibri" w:hAnsiTheme="minorHAnsi"/>
          <w:sz w:val="22"/>
        </w:rPr>
        <w:t>(13), 1199–1207.</w:t>
      </w:r>
    </w:p>
    <w:p w14:paraId="739BA4AD"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35097A62"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Li, R., Pei, S., Chen, B., Song, Y., Zhang, T., Yang, W., &amp; Shaman, J. (2020). Substantial undocumented infection facilitates the rapid dissemination of novel coronavirus (SARS-CoV2). </w:t>
      </w:r>
      <w:r w:rsidRPr="001C6A26">
        <w:rPr>
          <w:rFonts w:asciiTheme="minorHAnsi" w:eastAsia="Calibri" w:hAnsiTheme="minorHAnsi"/>
          <w:i/>
          <w:sz w:val="22"/>
        </w:rPr>
        <w:t>Science</w:t>
      </w:r>
      <w:r w:rsidRPr="001C6A26">
        <w:rPr>
          <w:rFonts w:asciiTheme="minorHAnsi" w:eastAsia="Calibri" w:hAnsiTheme="minorHAnsi"/>
          <w:sz w:val="22"/>
        </w:rPr>
        <w:t xml:space="preserve">. </w:t>
      </w:r>
      <w:hyperlink r:id="rId52">
        <w:r w:rsidRPr="001C6A26">
          <w:rPr>
            <w:rStyle w:val="Hyperlink"/>
            <w:rFonts w:asciiTheme="minorHAnsi" w:eastAsia="Calibri" w:hAnsiTheme="minorHAnsi"/>
            <w:sz w:val="22"/>
          </w:rPr>
          <w:t>https://doi.org/10.1126/science.abb3221</w:t>
        </w:r>
      </w:hyperlink>
    </w:p>
    <w:p w14:paraId="47A8CD0E" w14:textId="77777777" w:rsidR="00BF3B4F" w:rsidRPr="001C6A26" w:rsidRDefault="001C6A26">
      <w:pPr>
        <w:rPr>
          <w:rFonts w:asciiTheme="minorHAnsi" w:eastAsia="Calibri" w:hAnsiTheme="minorHAnsi"/>
        </w:rPr>
      </w:pPr>
      <w:r w:rsidRPr="001C6A26">
        <w:rPr>
          <w:rFonts w:asciiTheme="minorHAnsi" w:eastAsia="Calibri" w:hAnsiTheme="minorHAnsi"/>
          <w:color w:val="007398"/>
          <w:sz w:val="22"/>
        </w:rPr>
        <w:lastRenderedPageBreak/>
        <w:t xml:space="preserve"> </w:t>
      </w:r>
      <w:r w:rsidRPr="001C6A26">
        <w:rPr>
          <w:rFonts w:asciiTheme="minorHAnsi" w:eastAsia="Calibri" w:hAnsiTheme="minorHAnsi"/>
          <w:sz w:val="22"/>
        </w:rPr>
        <w:t xml:space="preserve">Liao, J., Fan, S., Sr., Chen, J., Wu, J., Xu, S., Guo, Y., Li, C., Zhang, X., Wu, C., </w:t>
      </w:r>
      <w:proofErr w:type="spellStart"/>
      <w:r w:rsidRPr="001C6A26">
        <w:rPr>
          <w:rFonts w:asciiTheme="minorHAnsi" w:eastAsia="Calibri" w:hAnsiTheme="minorHAnsi"/>
          <w:sz w:val="22"/>
        </w:rPr>
        <w:t>Mou</w:t>
      </w:r>
      <w:proofErr w:type="spellEnd"/>
      <w:r w:rsidRPr="001C6A26">
        <w:rPr>
          <w:rFonts w:asciiTheme="minorHAnsi" w:eastAsia="Calibri" w:hAnsiTheme="minorHAnsi"/>
          <w:sz w:val="22"/>
        </w:rPr>
        <w:t xml:space="preserve">, H., Song, C., Li, F., Wu, G., Zhang, J., Guo, L., Liu, H., </w:t>
      </w:r>
      <w:proofErr w:type="spellStart"/>
      <w:r w:rsidRPr="001C6A26">
        <w:rPr>
          <w:rFonts w:asciiTheme="minorHAnsi" w:eastAsia="Calibri" w:hAnsiTheme="minorHAnsi"/>
          <w:sz w:val="22"/>
        </w:rPr>
        <w:t>Lv</w:t>
      </w:r>
      <w:proofErr w:type="spellEnd"/>
      <w:r w:rsidRPr="001C6A26">
        <w:rPr>
          <w:rFonts w:asciiTheme="minorHAnsi" w:eastAsia="Calibri" w:hAnsiTheme="minorHAnsi"/>
          <w:sz w:val="22"/>
        </w:rPr>
        <w:t xml:space="preserve">, J., Xu, L., &amp; Lang, C. (2020). Epidemiological and clinical characteristics of COVID-19 in adolescents and young adults. In </w:t>
      </w:r>
      <w:r w:rsidRPr="001C6A26">
        <w:rPr>
          <w:rFonts w:asciiTheme="minorHAnsi" w:eastAsia="Calibri" w:hAnsiTheme="minorHAnsi"/>
          <w:i/>
          <w:sz w:val="22"/>
        </w:rPr>
        <w:t>Epidemiology</w:t>
      </w:r>
      <w:r w:rsidRPr="001C6A26">
        <w:rPr>
          <w:rFonts w:asciiTheme="minorHAnsi" w:eastAsia="Calibri" w:hAnsiTheme="minorHAnsi"/>
          <w:sz w:val="22"/>
        </w:rPr>
        <w:t xml:space="preserve"> (No. medrxiv;2020.03.10.20032136v1). </w:t>
      </w:r>
      <w:proofErr w:type="spellStart"/>
      <w:r w:rsidRPr="001C6A26">
        <w:rPr>
          <w:rFonts w:asciiTheme="minorHAnsi" w:eastAsia="Calibri" w:hAnsiTheme="minorHAnsi"/>
          <w:sz w:val="22"/>
        </w:rPr>
        <w:t>medRxiv</w:t>
      </w:r>
      <w:proofErr w:type="spellEnd"/>
      <w:r w:rsidRPr="001C6A26">
        <w:rPr>
          <w:rFonts w:asciiTheme="minorHAnsi" w:eastAsia="Calibri" w:hAnsiTheme="minorHAnsi"/>
          <w:sz w:val="22"/>
        </w:rPr>
        <w:t xml:space="preserve">. </w:t>
      </w:r>
      <w:hyperlink r:id="rId53">
        <w:r w:rsidRPr="001C6A26">
          <w:rPr>
            <w:rStyle w:val="Hyperlink"/>
            <w:rFonts w:asciiTheme="minorHAnsi" w:eastAsia="Calibri" w:hAnsiTheme="minorHAnsi"/>
            <w:sz w:val="22"/>
          </w:rPr>
          <w:t>https://www.medrxiv.org/content/10.1101/2020.03.10.20032136v1.full.pdf</w:t>
        </w:r>
      </w:hyperlink>
    </w:p>
    <w:p w14:paraId="31CF688E"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7CEADA96"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sz w:val="22"/>
        </w:rPr>
        <w:t>Mizumoto</w:t>
      </w:r>
      <w:proofErr w:type="spellEnd"/>
      <w:r w:rsidRPr="001C6A26">
        <w:rPr>
          <w:rFonts w:asciiTheme="minorHAnsi" w:eastAsia="Calibri" w:hAnsiTheme="minorHAnsi"/>
          <w:sz w:val="22"/>
        </w:rPr>
        <w:t xml:space="preserve">, K., </w:t>
      </w:r>
      <w:proofErr w:type="spellStart"/>
      <w:r w:rsidRPr="001C6A26">
        <w:rPr>
          <w:rFonts w:asciiTheme="minorHAnsi" w:eastAsia="Calibri" w:hAnsiTheme="minorHAnsi"/>
          <w:sz w:val="22"/>
        </w:rPr>
        <w:t>Kagaya</w:t>
      </w:r>
      <w:proofErr w:type="spellEnd"/>
      <w:r w:rsidRPr="001C6A26">
        <w:rPr>
          <w:rFonts w:asciiTheme="minorHAnsi" w:eastAsia="Calibri" w:hAnsiTheme="minorHAnsi"/>
          <w:sz w:val="22"/>
        </w:rPr>
        <w:t xml:space="preserve">, K., </w:t>
      </w:r>
      <w:proofErr w:type="spellStart"/>
      <w:r w:rsidRPr="001C6A26">
        <w:rPr>
          <w:rFonts w:asciiTheme="minorHAnsi" w:eastAsia="Calibri" w:hAnsiTheme="minorHAnsi"/>
          <w:sz w:val="22"/>
        </w:rPr>
        <w:t>Zarebski</w:t>
      </w:r>
      <w:proofErr w:type="spellEnd"/>
      <w:r w:rsidRPr="001C6A26">
        <w:rPr>
          <w:rFonts w:asciiTheme="minorHAnsi" w:eastAsia="Calibri" w:hAnsiTheme="minorHAnsi"/>
          <w:sz w:val="22"/>
        </w:rPr>
        <w:t xml:space="preserve">, A., &amp; </w:t>
      </w:r>
      <w:proofErr w:type="spellStart"/>
      <w:r w:rsidRPr="001C6A26">
        <w:rPr>
          <w:rFonts w:asciiTheme="minorHAnsi" w:eastAsia="Calibri" w:hAnsiTheme="minorHAnsi"/>
          <w:sz w:val="22"/>
        </w:rPr>
        <w:t>Chowell</w:t>
      </w:r>
      <w:proofErr w:type="spellEnd"/>
      <w:r w:rsidRPr="001C6A26">
        <w:rPr>
          <w:rFonts w:asciiTheme="minorHAnsi" w:eastAsia="Calibri" w:hAnsiTheme="minorHAnsi"/>
          <w:sz w:val="22"/>
        </w:rPr>
        <w:t xml:space="preserve">, G. (2020). Estimating the asymptomatic proportion of coronavirus disease 2019 (COVID-19) cases on board the Diamond Princess cruise ship, Yokohama, Japan, 2020. </w:t>
      </w:r>
      <w:r w:rsidRPr="001C6A26">
        <w:rPr>
          <w:rFonts w:asciiTheme="minorHAnsi" w:eastAsia="Calibri" w:hAnsiTheme="minorHAnsi"/>
          <w:i/>
          <w:sz w:val="22"/>
        </w:rPr>
        <w:t xml:space="preserve">Euro Surveillance: Bulletin </w:t>
      </w:r>
      <w:proofErr w:type="spellStart"/>
      <w:r w:rsidRPr="001C6A26">
        <w:rPr>
          <w:rFonts w:asciiTheme="minorHAnsi" w:eastAsia="Calibri" w:hAnsiTheme="minorHAnsi"/>
          <w:i/>
          <w:sz w:val="22"/>
        </w:rPr>
        <w:t>Europeen</w:t>
      </w:r>
      <w:proofErr w:type="spellEnd"/>
      <w:r w:rsidRPr="001C6A26">
        <w:rPr>
          <w:rFonts w:asciiTheme="minorHAnsi" w:eastAsia="Calibri" w:hAnsiTheme="minorHAnsi"/>
          <w:i/>
          <w:sz w:val="22"/>
        </w:rPr>
        <w:t xml:space="preserve"> Sur Les Maladies </w:t>
      </w:r>
      <w:proofErr w:type="spellStart"/>
      <w:r w:rsidRPr="001C6A26">
        <w:rPr>
          <w:rFonts w:asciiTheme="minorHAnsi" w:eastAsia="Calibri" w:hAnsiTheme="minorHAnsi"/>
          <w:i/>
          <w:sz w:val="22"/>
        </w:rPr>
        <w:t>Transmissibles</w:t>
      </w:r>
      <w:proofErr w:type="spellEnd"/>
      <w:r w:rsidRPr="001C6A26">
        <w:rPr>
          <w:rFonts w:asciiTheme="minorHAnsi" w:eastAsia="Calibri" w:hAnsiTheme="minorHAnsi"/>
          <w:i/>
          <w:sz w:val="22"/>
        </w:rPr>
        <w:t xml:space="preserve"> = European Communicable Disease Bulletin</w:t>
      </w:r>
      <w:r w:rsidRPr="001C6A26">
        <w:rPr>
          <w:rFonts w:asciiTheme="minorHAnsi" w:eastAsia="Calibri" w:hAnsiTheme="minorHAnsi"/>
          <w:sz w:val="22"/>
        </w:rPr>
        <w:t xml:space="preserve">, </w:t>
      </w:r>
      <w:r w:rsidRPr="001C6A26">
        <w:rPr>
          <w:rFonts w:asciiTheme="minorHAnsi" w:eastAsia="Calibri" w:hAnsiTheme="minorHAnsi"/>
          <w:i/>
          <w:sz w:val="22"/>
        </w:rPr>
        <w:t>25</w:t>
      </w:r>
      <w:r w:rsidRPr="001C6A26">
        <w:rPr>
          <w:rFonts w:asciiTheme="minorHAnsi" w:eastAsia="Calibri" w:hAnsiTheme="minorHAnsi"/>
          <w:sz w:val="22"/>
        </w:rPr>
        <w:t xml:space="preserve">(10). </w:t>
      </w:r>
      <w:hyperlink r:id="rId54">
        <w:r w:rsidRPr="001C6A26">
          <w:rPr>
            <w:rStyle w:val="Hyperlink"/>
            <w:rFonts w:asciiTheme="minorHAnsi" w:eastAsia="Calibri" w:hAnsiTheme="minorHAnsi"/>
            <w:sz w:val="22"/>
          </w:rPr>
          <w:t>https://doi.org/10.2807/1560-7917.ES.2020.25.10.2000180</w:t>
        </w:r>
      </w:hyperlink>
    </w:p>
    <w:p w14:paraId="58D0A5E0"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5778661A"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Nishiura, H., Kobayashi, T., Miyama, T., Suzuki, A., Jung, S., Hayashi, K., Kinoshita, R., Yang, Y., Yuan, B., </w:t>
      </w:r>
      <w:proofErr w:type="spellStart"/>
      <w:r w:rsidRPr="001C6A26">
        <w:rPr>
          <w:rFonts w:asciiTheme="minorHAnsi" w:eastAsia="Calibri" w:hAnsiTheme="minorHAnsi"/>
          <w:sz w:val="22"/>
        </w:rPr>
        <w:t>Akhmetzhanov</w:t>
      </w:r>
      <w:proofErr w:type="spellEnd"/>
      <w:r w:rsidRPr="001C6A26">
        <w:rPr>
          <w:rFonts w:asciiTheme="minorHAnsi" w:eastAsia="Calibri" w:hAnsiTheme="minorHAnsi"/>
          <w:sz w:val="22"/>
        </w:rPr>
        <w:t xml:space="preserve">, A. R., &amp; Linton, N. M. (2020). Estimation of the asymptomatic ratio of novel coronavirus infections (COVID-19). In </w:t>
      </w:r>
      <w:r w:rsidRPr="001C6A26">
        <w:rPr>
          <w:rFonts w:asciiTheme="minorHAnsi" w:eastAsia="Calibri" w:hAnsiTheme="minorHAnsi"/>
          <w:i/>
          <w:sz w:val="22"/>
        </w:rPr>
        <w:t>Epidemiology</w:t>
      </w:r>
      <w:r w:rsidRPr="001C6A26">
        <w:rPr>
          <w:rFonts w:asciiTheme="minorHAnsi" w:eastAsia="Calibri" w:hAnsiTheme="minorHAnsi"/>
          <w:sz w:val="22"/>
        </w:rPr>
        <w:t xml:space="preserve"> (No. medrxiv;2020.02.03.20020248v2). </w:t>
      </w:r>
      <w:proofErr w:type="spellStart"/>
      <w:r w:rsidRPr="001C6A26">
        <w:rPr>
          <w:rFonts w:asciiTheme="minorHAnsi" w:eastAsia="Calibri" w:hAnsiTheme="minorHAnsi"/>
          <w:sz w:val="22"/>
        </w:rPr>
        <w:t>medRxiv</w:t>
      </w:r>
      <w:proofErr w:type="spellEnd"/>
      <w:r w:rsidRPr="001C6A26">
        <w:rPr>
          <w:rFonts w:asciiTheme="minorHAnsi" w:eastAsia="Calibri" w:hAnsiTheme="minorHAnsi"/>
          <w:sz w:val="22"/>
        </w:rPr>
        <w:t xml:space="preserve">. </w:t>
      </w:r>
      <w:hyperlink r:id="rId55">
        <w:r w:rsidRPr="001C6A26">
          <w:rPr>
            <w:rStyle w:val="Hyperlink"/>
            <w:rFonts w:asciiTheme="minorHAnsi" w:eastAsia="Calibri" w:hAnsiTheme="minorHAnsi"/>
            <w:sz w:val="22"/>
          </w:rPr>
          <w:t>https://doi.org/10.1101/2020.02.03.20020248</w:t>
        </w:r>
      </w:hyperlink>
    </w:p>
    <w:p w14:paraId="40F1EA95"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1BC128A1"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Pei, S., &amp; Shaman, J. (2020). Initial Simulation of SARS-CoV2 Spread and Intervention Effects in the Continental US. In </w:t>
      </w:r>
      <w:r w:rsidRPr="001C6A26">
        <w:rPr>
          <w:rFonts w:asciiTheme="minorHAnsi" w:eastAsia="Calibri" w:hAnsiTheme="minorHAnsi"/>
          <w:i/>
          <w:sz w:val="22"/>
        </w:rPr>
        <w:t>Epidemiology</w:t>
      </w:r>
      <w:r w:rsidRPr="001C6A26">
        <w:rPr>
          <w:rFonts w:asciiTheme="minorHAnsi" w:eastAsia="Calibri" w:hAnsiTheme="minorHAnsi"/>
          <w:sz w:val="22"/>
        </w:rPr>
        <w:t xml:space="preserve"> (No. medrxiv;2020.03.21.20040303v2). </w:t>
      </w:r>
      <w:proofErr w:type="spellStart"/>
      <w:r w:rsidRPr="001C6A26">
        <w:rPr>
          <w:rFonts w:asciiTheme="minorHAnsi" w:eastAsia="Calibri" w:hAnsiTheme="minorHAnsi"/>
          <w:sz w:val="22"/>
        </w:rPr>
        <w:t>medRxiv</w:t>
      </w:r>
      <w:proofErr w:type="spellEnd"/>
      <w:r w:rsidRPr="001C6A26">
        <w:rPr>
          <w:rFonts w:asciiTheme="minorHAnsi" w:eastAsia="Calibri" w:hAnsiTheme="minorHAnsi"/>
          <w:sz w:val="22"/>
        </w:rPr>
        <w:t xml:space="preserve">. </w:t>
      </w:r>
      <w:hyperlink r:id="rId56">
        <w:r w:rsidRPr="001C6A26">
          <w:rPr>
            <w:rStyle w:val="Hyperlink"/>
            <w:rFonts w:asciiTheme="minorHAnsi" w:eastAsia="Calibri" w:hAnsiTheme="minorHAnsi"/>
            <w:sz w:val="22"/>
          </w:rPr>
          <w:t>https://doi.org/10.1101/2020.03.21.20040303</w:t>
        </w:r>
      </w:hyperlink>
    </w:p>
    <w:p w14:paraId="5C405B70"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2C00C54F"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Tindale, L., Coombe, M., Stockdale, J. E., Garlock, E., Lau, W. Y. V., Saraswat, M., Lee, Y.-H. B., Zhang, L., Chen, D., </w:t>
      </w:r>
      <w:proofErr w:type="spellStart"/>
      <w:r w:rsidRPr="001C6A26">
        <w:rPr>
          <w:rFonts w:asciiTheme="minorHAnsi" w:eastAsia="Calibri" w:hAnsiTheme="minorHAnsi"/>
          <w:sz w:val="22"/>
        </w:rPr>
        <w:t>Wallinga</w:t>
      </w:r>
      <w:proofErr w:type="spellEnd"/>
      <w:r w:rsidRPr="001C6A26">
        <w:rPr>
          <w:rFonts w:asciiTheme="minorHAnsi" w:eastAsia="Calibri" w:hAnsiTheme="minorHAnsi"/>
          <w:sz w:val="22"/>
        </w:rPr>
        <w:t xml:space="preserve">, J., &amp; </w:t>
      </w:r>
      <w:proofErr w:type="spellStart"/>
      <w:r w:rsidRPr="001C6A26">
        <w:rPr>
          <w:rFonts w:asciiTheme="minorHAnsi" w:eastAsia="Calibri" w:hAnsiTheme="minorHAnsi"/>
          <w:sz w:val="22"/>
        </w:rPr>
        <w:t>Colijn</w:t>
      </w:r>
      <w:proofErr w:type="spellEnd"/>
      <w:r w:rsidRPr="001C6A26">
        <w:rPr>
          <w:rFonts w:asciiTheme="minorHAnsi" w:eastAsia="Calibri" w:hAnsiTheme="minorHAnsi"/>
          <w:sz w:val="22"/>
        </w:rPr>
        <w:t xml:space="preserve">, C. (2020). Transmission interval estimates suggest pre-symptomatic spread of COVID-19. In </w:t>
      </w:r>
      <w:r w:rsidRPr="001C6A26">
        <w:rPr>
          <w:rFonts w:asciiTheme="minorHAnsi" w:eastAsia="Calibri" w:hAnsiTheme="minorHAnsi"/>
          <w:i/>
          <w:sz w:val="22"/>
        </w:rPr>
        <w:t>Epidemiology</w:t>
      </w:r>
      <w:r w:rsidRPr="001C6A26">
        <w:rPr>
          <w:rFonts w:asciiTheme="minorHAnsi" w:eastAsia="Calibri" w:hAnsiTheme="minorHAnsi"/>
          <w:sz w:val="22"/>
        </w:rPr>
        <w:t xml:space="preserve"> (No. medrxiv;2020.03.03.20029983v1). </w:t>
      </w:r>
      <w:proofErr w:type="spellStart"/>
      <w:r w:rsidRPr="001C6A26">
        <w:rPr>
          <w:rFonts w:asciiTheme="minorHAnsi" w:eastAsia="Calibri" w:hAnsiTheme="minorHAnsi"/>
          <w:sz w:val="22"/>
        </w:rPr>
        <w:t>medRxiv</w:t>
      </w:r>
      <w:proofErr w:type="spellEnd"/>
      <w:r w:rsidRPr="001C6A26">
        <w:rPr>
          <w:rFonts w:asciiTheme="minorHAnsi" w:eastAsia="Calibri" w:hAnsiTheme="minorHAnsi"/>
          <w:sz w:val="22"/>
        </w:rPr>
        <w:t xml:space="preserve">. </w:t>
      </w:r>
      <w:hyperlink r:id="rId57">
        <w:r w:rsidRPr="001C6A26">
          <w:rPr>
            <w:rStyle w:val="Hyperlink"/>
            <w:rFonts w:asciiTheme="minorHAnsi" w:eastAsia="Calibri" w:hAnsiTheme="minorHAnsi"/>
            <w:sz w:val="22"/>
          </w:rPr>
          <w:t>https://doi.org/10.1101/2020.03.03.20029983</w:t>
        </w:r>
      </w:hyperlink>
    </w:p>
    <w:p w14:paraId="349E3793"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34C6CE02"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Verity, R., </w:t>
      </w:r>
      <w:proofErr w:type="spellStart"/>
      <w:r w:rsidRPr="001C6A26">
        <w:rPr>
          <w:rFonts w:asciiTheme="minorHAnsi" w:eastAsia="Calibri" w:hAnsiTheme="minorHAnsi"/>
          <w:sz w:val="22"/>
        </w:rPr>
        <w:t>Okell</w:t>
      </w:r>
      <w:proofErr w:type="spellEnd"/>
      <w:r w:rsidRPr="001C6A26">
        <w:rPr>
          <w:rFonts w:asciiTheme="minorHAnsi" w:eastAsia="Calibri" w:hAnsiTheme="minorHAnsi"/>
          <w:sz w:val="22"/>
        </w:rPr>
        <w:t xml:space="preserve">, L. C., </w:t>
      </w:r>
      <w:proofErr w:type="spellStart"/>
      <w:r w:rsidRPr="001C6A26">
        <w:rPr>
          <w:rFonts w:asciiTheme="minorHAnsi" w:eastAsia="Calibri" w:hAnsiTheme="minorHAnsi"/>
          <w:sz w:val="22"/>
        </w:rPr>
        <w:t>Dorigatti</w:t>
      </w:r>
      <w:proofErr w:type="spellEnd"/>
      <w:r w:rsidRPr="001C6A26">
        <w:rPr>
          <w:rFonts w:asciiTheme="minorHAnsi" w:eastAsia="Calibri" w:hAnsiTheme="minorHAnsi"/>
          <w:sz w:val="22"/>
        </w:rPr>
        <w:t xml:space="preserve">, I., </w:t>
      </w:r>
      <w:proofErr w:type="spellStart"/>
      <w:r w:rsidRPr="001C6A26">
        <w:rPr>
          <w:rFonts w:asciiTheme="minorHAnsi" w:eastAsia="Calibri" w:hAnsiTheme="minorHAnsi"/>
          <w:sz w:val="22"/>
        </w:rPr>
        <w:t>Winskill</w:t>
      </w:r>
      <w:proofErr w:type="spellEnd"/>
      <w:r w:rsidRPr="001C6A26">
        <w:rPr>
          <w:rFonts w:asciiTheme="minorHAnsi" w:eastAsia="Calibri" w:hAnsiTheme="minorHAnsi"/>
          <w:sz w:val="22"/>
        </w:rPr>
        <w:t xml:space="preserve">, P., Whittaker, C., Imai, N., ... &amp; </w:t>
      </w:r>
      <w:proofErr w:type="spellStart"/>
      <w:r w:rsidRPr="001C6A26">
        <w:rPr>
          <w:rFonts w:asciiTheme="minorHAnsi" w:eastAsia="Calibri" w:hAnsiTheme="minorHAnsi"/>
          <w:sz w:val="22"/>
        </w:rPr>
        <w:t>Dighe</w:t>
      </w:r>
      <w:proofErr w:type="spellEnd"/>
      <w:r w:rsidRPr="001C6A26">
        <w:rPr>
          <w:rFonts w:asciiTheme="minorHAnsi" w:eastAsia="Calibri" w:hAnsiTheme="minorHAnsi"/>
          <w:sz w:val="22"/>
        </w:rPr>
        <w:t xml:space="preserve">, A. (2020). Estimates of the severity of coronavirus disease 2019: a model-based analysis. </w:t>
      </w:r>
      <w:r w:rsidRPr="001C6A26">
        <w:rPr>
          <w:rFonts w:asciiTheme="minorHAnsi" w:eastAsia="Calibri" w:hAnsiTheme="minorHAnsi"/>
          <w:i/>
          <w:sz w:val="22"/>
        </w:rPr>
        <w:t>The Lancet Infectious Diseases</w:t>
      </w:r>
      <w:r w:rsidRPr="001C6A26">
        <w:rPr>
          <w:rFonts w:asciiTheme="minorHAnsi" w:eastAsia="Calibri" w:hAnsiTheme="minorHAnsi"/>
          <w:sz w:val="22"/>
        </w:rPr>
        <w:t>.</w:t>
      </w:r>
    </w:p>
    <w:p w14:paraId="49D9E0C4" w14:textId="77777777" w:rsidR="00BF3B4F" w:rsidRPr="001C6A26" w:rsidRDefault="00171B77">
      <w:pPr>
        <w:rPr>
          <w:rFonts w:asciiTheme="minorHAnsi" w:eastAsia="Calibri" w:hAnsiTheme="minorHAnsi"/>
        </w:rPr>
      </w:pPr>
      <w:hyperlink r:id="rId58">
        <w:r w:rsidR="001C6A26" w:rsidRPr="001C6A26">
          <w:rPr>
            <w:rStyle w:val="Hyperlink"/>
            <w:rFonts w:asciiTheme="minorHAnsi" w:eastAsia="Calibri" w:hAnsiTheme="minorHAnsi"/>
            <w:sz w:val="22"/>
          </w:rPr>
          <w:t>https://www.thelancet.com/action/showPdf?pii=S1473-3099%2820%2930243-7</w:t>
        </w:r>
      </w:hyperlink>
    </w:p>
    <w:p w14:paraId="4690A854"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36967249"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Wang, D., Hu, B., Hu, C., Zhu, F., Liu, X., Zhang, J., Wang, B., Xiang, H., Cheng, Z., </w:t>
      </w:r>
      <w:proofErr w:type="spellStart"/>
      <w:r w:rsidRPr="001C6A26">
        <w:rPr>
          <w:rFonts w:asciiTheme="minorHAnsi" w:eastAsia="Calibri" w:hAnsiTheme="minorHAnsi"/>
          <w:sz w:val="22"/>
        </w:rPr>
        <w:t>Xiong</w:t>
      </w:r>
      <w:proofErr w:type="spellEnd"/>
      <w:r w:rsidRPr="001C6A26">
        <w:rPr>
          <w:rFonts w:asciiTheme="minorHAnsi" w:eastAsia="Calibri" w:hAnsiTheme="minorHAnsi"/>
          <w:sz w:val="22"/>
        </w:rPr>
        <w:t xml:space="preserve">, Y., Zhao, Y., Li, Y., Wang, X., &amp; Peng, Z. (2020). Clinical Characteristics of 138 Hospitalized Patients With 2019 Novel Coronavirus-Infected Pneumonia in Wuhan, China. </w:t>
      </w:r>
      <w:r w:rsidRPr="001C6A26">
        <w:rPr>
          <w:rFonts w:asciiTheme="minorHAnsi" w:eastAsia="Calibri" w:hAnsiTheme="minorHAnsi"/>
          <w:i/>
          <w:sz w:val="22"/>
        </w:rPr>
        <w:t>JAMA: The Journal of the American Medical Association</w:t>
      </w:r>
      <w:r w:rsidRPr="001C6A26">
        <w:rPr>
          <w:rFonts w:asciiTheme="minorHAnsi" w:eastAsia="Calibri" w:hAnsiTheme="minorHAnsi"/>
          <w:sz w:val="22"/>
        </w:rPr>
        <w:t xml:space="preserve">. </w:t>
      </w:r>
      <w:hyperlink r:id="rId59">
        <w:r w:rsidRPr="001C6A26">
          <w:rPr>
            <w:rStyle w:val="Hyperlink"/>
            <w:rFonts w:asciiTheme="minorHAnsi" w:eastAsia="Calibri" w:hAnsiTheme="minorHAnsi"/>
            <w:sz w:val="22"/>
          </w:rPr>
          <w:t>https://doi.org/10.1001/jama.2020.1585</w:t>
        </w:r>
      </w:hyperlink>
    </w:p>
    <w:p w14:paraId="44AB3735"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7771BA2D"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Wei, W. E. (2020). </w:t>
      </w:r>
      <w:proofErr w:type="spellStart"/>
      <w:r w:rsidRPr="001C6A26">
        <w:rPr>
          <w:rFonts w:asciiTheme="minorHAnsi" w:eastAsia="Calibri" w:hAnsiTheme="minorHAnsi"/>
          <w:sz w:val="22"/>
        </w:rPr>
        <w:t>Presymptomatic</w:t>
      </w:r>
      <w:proofErr w:type="spellEnd"/>
      <w:r w:rsidRPr="001C6A26">
        <w:rPr>
          <w:rFonts w:asciiTheme="minorHAnsi" w:eastAsia="Calibri" w:hAnsiTheme="minorHAnsi"/>
          <w:sz w:val="22"/>
        </w:rPr>
        <w:t xml:space="preserve"> Transmission of SARS-CoV-2 — Singapore, January 23–March 16, 2020. </w:t>
      </w:r>
      <w:r w:rsidRPr="001C6A26">
        <w:rPr>
          <w:rFonts w:asciiTheme="minorHAnsi" w:eastAsia="Calibri" w:hAnsiTheme="minorHAnsi"/>
          <w:i/>
          <w:sz w:val="22"/>
        </w:rPr>
        <w:t>MMWR. Morbidity and Mortality Weekly Report</w:t>
      </w:r>
      <w:r w:rsidRPr="001C6A26">
        <w:rPr>
          <w:rFonts w:asciiTheme="minorHAnsi" w:eastAsia="Calibri" w:hAnsiTheme="minorHAnsi"/>
          <w:sz w:val="22"/>
        </w:rPr>
        <w:t xml:space="preserve">, </w:t>
      </w:r>
      <w:r w:rsidRPr="001C6A26">
        <w:rPr>
          <w:rFonts w:asciiTheme="minorHAnsi" w:eastAsia="Calibri" w:hAnsiTheme="minorHAnsi"/>
          <w:i/>
          <w:sz w:val="22"/>
        </w:rPr>
        <w:t>69</w:t>
      </w:r>
    </w:p>
    <w:p w14:paraId="61004CF4"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6395092D" w14:textId="77777777" w:rsidR="00BF3B4F" w:rsidRPr="001C6A26" w:rsidRDefault="001C6A26">
      <w:pPr>
        <w:rPr>
          <w:rFonts w:asciiTheme="minorHAnsi" w:eastAsia="Calibri" w:hAnsiTheme="minorHAnsi"/>
        </w:rPr>
      </w:pPr>
      <w:proofErr w:type="spellStart"/>
      <w:r w:rsidRPr="001C6A26">
        <w:rPr>
          <w:rFonts w:asciiTheme="minorHAnsi" w:eastAsia="Calibri" w:hAnsiTheme="minorHAnsi"/>
          <w:sz w:val="22"/>
        </w:rPr>
        <w:t>Wölfel</w:t>
      </w:r>
      <w:proofErr w:type="spellEnd"/>
      <w:r w:rsidRPr="001C6A26">
        <w:rPr>
          <w:rFonts w:asciiTheme="minorHAnsi" w:eastAsia="Calibri" w:hAnsiTheme="minorHAnsi"/>
          <w:sz w:val="22"/>
        </w:rPr>
        <w:t xml:space="preserve">, R., Corman, V. M., </w:t>
      </w:r>
      <w:proofErr w:type="spellStart"/>
      <w:r w:rsidRPr="001C6A26">
        <w:rPr>
          <w:rFonts w:asciiTheme="minorHAnsi" w:eastAsia="Calibri" w:hAnsiTheme="minorHAnsi"/>
          <w:sz w:val="22"/>
        </w:rPr>
        <w:t>Guggemos</w:t>
      </w:r>
      <w:proofErr w:type="spellEnd"/>
      <w:r w:rsidRPr="001C6A26">
        <w:rPr>
          <w:rFonts w:asciiTheme="minorHAnsi" w:eastAsia="Calibri" w:hAnsiTheme="minorHAnsi"/>
          <w:sz w:val="22"/>
        </w:rPr>
        <w:t xml:space="preserve">, W., </w:t>
      </w:r>
      <w:proofErr w:type="spellStart"/>
      <w:r w:rsidRPr="001C6A26">
        <w:rPr>
          <w:rFonts w:asciiTheme="minorHAnsi" w:eastAsia="Calibri" w:hAnsiTheme="minorHAnsi"/>
          <w:sz w:val="22"/>
        </w:rPr>
        <w:t>Seilmaier</w:t>
      </w:r>
      <w:proofErr w:type="spellEnd"/>
      <w:r w:rsidRPr="001C6A26">
        <w:rPr>
          <w:rFonts w:asciiTheme="minorHAnsi" w:eastAsia="Calibri" w:hAnsiTheme="minorHAnsi"/>
          <w:sz w:val="22"/>
        </w:rPr>
        <w:t xml:space="preserve">, M., </w:t>
      </w:r>
      <w:proofErr w:type="spellStart"/>
      <w:r w:rsidRPr="001C6A26">
        <w:rPr>
          <w:rFonts w:asciiTheme="minorHAnsi" w:eastAsia="Calibri" w:hAnsiTheme="minorHAnsi"/>
          <w:sz w:val="22"/>
        </w:rPr>
        <w:t>Zange</w:t>
      </w:r>
      <w:proofErr w:type="spellEnd"/>
      <w:r w:rsidRPr="001C6A26">
        <w:rPr>
          <w:rFonts w:asciiTheme="minorHAnsi" w:eastAsia="Calibri" w:hAnsiTheme="minorHAnsi"/>
          <w:sz w:val="22"/>
        </w:rPr>
        <w:t xml:space="preserve">, S., Müller, M. A., Niemeyer, D., Jones, T. C., </w:t>
      </w:r>
      <w:proofErr w:type="spellStart"/>
      <w:r w:rsidRPr="001C6A26">
        <w:rPr>
          <w:rFonts w:asciiTheme="minorHAnsi" w:eastAsia="Calibri" w:hAnsiTheme="minorHAnsi"/>
          <w:sz w:val="22"/>
        </w:rPr>
        <w:t>Vollmar</w:t>
      </w:r>
      <w:proofErr w:type="spellEnd"/>
      <w:r w:rsidRPr="001C6A26">
        <w:rPr>
          <w:rFonts w:asciiTheme="minorHAnsi" w:eastAsia="Calibri" w:hAnsiTheme="minorHAnsi"/>
          <w:sz w:val="22"/>
        </w:rPr>
        <w:t xml:space="preserve">, P., </w:t>
      </w:r>
      <w:proofErr w:type="spellStart"/>
      <w:r w:rsidRPr="001C6A26">
        <w:rPr>
          <w:rFonts w:asciiTheme="minorHAnsi" w:eastAsia="Calibri" w:hAnsiTheme="minorHAnsi"/>
          <w:sz w:val="22"/>
        </w:rPr>
        <w:t>Rothe</w:t>
      </w:r>
      <w:proofErr w:type="spellEnd"/>
      <w:r w:rsidRPr="001C6A26">
        <w:rPr>
          <w:rFonts w:asciiTheme="minorHAnsi" w:eastAsia="Calibri" w:hAnsiTheme="minorHAnsi"/>
          <w:sz w:val="22"/>
        </w:rPr>
        <w:t xml:space="preserve">, C., </w:t>
      </w:r>
      <w:proofErr w:type="spellStart"/>
      <w:r w:rsidRPr="001C6A26">
        <w:rPr>
          <w:rFonts w:asciiTheme="minorHAnsi" w:eastAsia="Calibri" w:hAnsiTheme="minorHAnsi"/>
          <w:sz w:val="22"/>
        </w:rPr>
        <w:t>Hoelscher</w:t>
      </w:r>
      <w:proofErr w:type="spellEnd"/>
      <w:r w:rsidRPr="001C6A26">
        <w:rPr>
          <w:rFonts w:asciiTheme="minorHAnsi" w:eastAsia="Calibri" w:hAnsiTheme="minorHAnsi"/>
          <w:sz w:val="22"/>
        </w:rPr>
        <w:t xml:space="preserve">, M., </w:t>
      </w:r>
      <w:proofErr w:type="spellStart"/>
      <w:r w:rsidRPr="001C6A26">
        <w:rPr>
          <w:rFonts w:asciiTheme="minorHAnsi" w:eastAsia="Calibri" w:hAnsiTheme="minorHAnsi"/>
          <w:sz w:val="22"/>
        </w:rPr>
        <w:t>Bleicker</w:t>
      </w:r>
      <w:proofErr w:type="spellEnd"/>
      <w:r w:rsidRPr="001C6A26">
        <w:rPr>
          <w:rFonts w:asciiTheme="minorHAnsi" w:eastAsia="Calibri" w:hAnsiTheme="minorHAnsi"/>
          <w:sz w:val="22"/>
        </w:rPr>
        <w:t xml:space="preserve">, T., </w:t>
      </w:r>
      <w:proofErr w:type="spellStart"/>
      <w:r w:rsidRPr="001C6A26">
        <w:rPr>
          <w:rFonts w:asciiTheme="minorHAnsi" w:eastAsia="Calibri" w:hAnsiTheme="minorHAnsi"/>
          <w:sz w:val="22"/>
        </w:rPr>
        <w:t>Brünink</w:t>
      </w:r>
      <w:proofErr w:type="spellEnd"/>
      <w:r w:rsidRPr="001C6A26">
        <w:rPr>
          <w:rFonts w:asciiTheme="minorHAnsi" w:eastAsia="Calibri" w:hAnsiTheme="minorHAnsi"/>
          <w:sz w:val="22"/>
        </w:rPr>
        <w:t xml:space="preserve">, S., Schneider, J., Ehmann, R., </w:t>
      </w:r>
      <w:proofErr w:type="spellStart"/>
      <w:r w:rsidRPr="001C6A26">
        <w:rPr>
          <w:rFonts w:asciiTheme="minorHAnsi" w:eastAsia="Calibri" w:hAnsiTheme="minorHAnsi"/>
          <w:sz w:val="22"/>
        </w:rPr>
        <w:t>Zwirglmaier</w:t>
      </w:r>
      <w:proofErr w:type="spellEnd"/>
      <w:r w:rsidRPr="001C6A26">
        <w:rPr>
          <w:rFonts w:asciiTheme="minorHAnsi" w:eastAsia="Calibri" w:hAnsiTheme="minorHAnsi"/>
          <w:sz w:val="22"/>
        </w:rPr>
        <w:t xml:space="preserve">, K., </w:t>
      </w:r>
      <w:proofErr w:type="spellStart"/>
      <w:r w:rsidRPr="001C6A26">
        <w:rPr>
          <w:rFonts w:asciiTheme="minorHAnsi" w:eastAsia="Calibri" w:hAnsiTheme="minorHAnsi"/>
          <w:sz w:val="22"/>
        </w:rPr>
        <w:t>Drosten</w:t>
      </w:r>
      <w:proofErr w:type="spellEnd"/>
      <w:r w:rsidRPr="001C6A26">
        <w:rPr>
          <w:rFonts w:asciiTheme="minorHAnsi" w:eastAsia="Calibri" w:hAnsiTheme="minorHAnsi"/>
          <w:sz w:val="22"/>
        </w:rPr>
        <w:t xml:space="preserve">, C., &amp; </w:t>
      </w:r>
      <w:proofErr w:type="spellStart"/>
      <w:r w:rsidRPr="001C6A26">
        <w:rPr>
          <w:rFonts w:asciiTheme="minorHAnsi" w:eastAsia="Calibri" w:hAnsiTheme="minorHAnsi"/>
          <w:sz w:val="22"/>
        </w:rPr>
        <w:t>Wendtner</w:t>
      </w:r>
      <w:proofErr w:type="spellEnd"/>
      <w:r w:rsidRPr="001C6A26">
        <w:rPr>
          <w:rFonts w:asciiTheme="minorHAnsi" w:eastAsia="Calibri" w:hAnsiTheme="minorHAnsi"/>
          <w:sz w:val="22"/>
        </w:rPr>
        <w:t xml:space="preserve">, C. (2020). </w:t>
      </w:r>
      <w:proofErr w:type="spellStart"/>
      <w:r w:rsidRPr="001C6A26">
        <w:rPr>
          <w:rFonts w:asciiTheme="minorHAnsi" w:eastAsia="Calibri" w:hAnsiTheme="minorHAnsi"/>
          <w:sz w:val="22"/>
        </w:rPr>
        <w:t>Virological</w:t>
      </w:r>
      <w:proofErr w:type="spellEnd"/>
      <w:r w:rsidRPr="001C6A26">
        <w:rPr>
          <w:rFonts w:asciiTheme="minorHAnsi" w:eastAsia="Calibri" w:hAnsiTheme="minorHAnsi"/>
          <w:sz w:val="22"/>
        </w:rPr>
        <w:t xml:space="preserve"> assessment of hospitalized patients with COVID-2019. </w:t>
      </w:r>
      <w:r w:rsidRPr="001C6A26">
        <w:rPr>
          <w:rFonts w:asciiTheme="minorHAnsi" w:eastAsia="Calibri" w:hAnsiTheme="minorHAnsi"/>
          <w:i/>
          <w:sz w:val="22"/>
        </w:rPr>
        <w:t>Nature</w:t>
      </w:r>
      <w:r w:rsidRPr="001C6A26">
        <w:rPr>
          <w:rFonts w:asciiTheme="minorHAnsi" w:eastAsia="Calibri" w:hAnsiTheme="minorHAnsi"/>
          <w:sz w:val="22"/>
        </w:rPr>
        <w:t xml:space="preserve">. </w:t>
      </w:r>
      <w:hyperlink r:id="rId60">
        <w:r w:rsidRPr="001C6A26">
          <w:rPr>
            <w:rStyle w:val="Hyperlink"/>
            <w:rFonts w:asciiTheme="minorHAnsi" w:eastAsia="Calibri" w:hAnsiTheme="minorHAnsi"/>
            <w:sz w:val="22"/>
          </w:rPr>
          <w:t>https://doi.org/10.1038/s41586-020-2196-x</w:t>
        </w:r>
      </w:hyperlink>
    </w:p>
    <w:p w14:paraId="678DE9B3"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4A4B5683"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Wu, J. T., Leung, K., Bushman, M., Kishore, N., </w:t>
      </w:r>
      <w:proofErr w:type="spellStart"/>
      <w:r w:rsidRPr="001C6A26">
        <w:rPr>
          <w:rFonts w:asciiTheme="minorHAnsi" w:eastAsia="Calibri" w:hAnsiTheme="minorHAnsi"/>
          <w:sz w:val="22"/>
        </w:rPr>
        <w:t>Niehus</w:t>
      </w:r>
      <w:proofErr w:type="spellEnd"/>
      <w:r w:rsidRPr="001C6A26">
        <w:rPr>
          <w:rFonts w:asciiTheme="minorHAnsi" w:eastAsia="Calibri" w:hAnsiTheme="minorHAnsi"/>
          <w:sz w:val="22"/>
        </w:rPr>
        <w:t xml:space="preserve">, R., de Salazar, P. M., Cowling, B. J., </w:t>
      </w:r>
      <w:proofErr w:type="spellStart"/>
      <w:r w:rsidRPr="001C6A26">
        <w:rPr>
          <w:rFonts w:asciiTheme="minorHAnsi" w:eastAsia="Calibri" w:hAnsiTheme="minorHAnsi"/>
          <w:sz w:val="22"/>
        </w:rPr>
        <w:t>Lipsitch</w:t>
      </w:r>
      <w:proofErr w:type="spellEnd"/>
      <w:r w:rsidRPr="001C6A26">
        <w:rPr>
          <w:rFonts w:asciiTheme="minorHAnsi" w:eastAsia="Calibri" w:hAnsiTheme="minorHAnsi"/>
          <w:sz w:val="22"/>
        </w:rPr>
        <w:t xml:space="preserve">, M., &amp; Leung, G. M. (2020). Estimating clinical severity of COVID-19 from the transmission dynamics in Wuhan, China. </w:t>
      </w:r>
      <w:r w:rsidRPr="001C6A26">
        <w:rPr>
          <w:rFonts w:asciiTheme="minorHAnsi" w:eastAsia="Calibri" w:hAnsiTheme="minorHAnsi"/>
          <w:i/>
          <w:sz w:val="22"/>
        </w:rPr>
        <w:t>Nature Medicine</w:t>
      </w:r>
      <w:r w:rsidRPr="001C6A26">
        <w:rPr>
          <w:rFonts w:asciiTheme="minorHAnsi" w:eastAsia="Calibri" w:hAnsiTheme="minorHAnsi"/>
          <w:sz w:val="22"/>
        </w:rPr>
        <w:t xml:space="preserve">. </w:t>
      </w:r>
      <w:hyperlink r:id="rId61">
        <w:r w:rsidRPr="001C6A26">
          <w:rPr>
            <w:rStyle w:val="Hyperlink"/>
            <w:rFonts w:asciiTheme="minorHAnsi" w:eastAsia="Calibri" w:hAnsiTheme="minorHAnsi"/>
            <w:sz w:val="22"/>
          </w:rPr>
          <w:t>https://doi.org/10.1038/s41591-020-0822-7</w:t>
        </w:r>
      </w:hyperlink>
    </w:p>
    <w:p w14:paraId="4742BB4D"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66185F66"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Wu, Z., &amp; McGoogan, J. M. (2020). Characteristics of and Important Lessons </w:t>
      </w:r>
      <w:proofErr w:type="gramStart"/>
      <w:r w:rsidRPr="001C6A26">
        <w:rPr>
          <w:rFonts w:asciiTheme="minorHAnsi" w:eastAsia="Calibri" w:hAnsiTheme="minorHAnsi"/>
          <w:sz w:val="22"/>
        </w:rPr>
        <w:t>From</w:t>
      </w:r>
      <w:proofErr w:type="gramEnd"/>
      <w:r w:rsidRPr="001C6A26">
        <w:rPr>
          <w:rFonts w:asciiTheme="minorHAnsi" w:eastAsia="Calibri" w:hAnsiTheme="minorHAnsi"/>
          <w:sz w:val="22"/>
        </w:rPr>
        <w:t xml:space="preserve"> the Coronavirus Disease 2019 (COVID-19) Outbreak in China: Summary of a Report of 72 314 Cases From the Chinese </w:t>
      </w:r>
      <w:r w:rsidRPr="001C6A26">
        <w:rPr>
          <w:rFonts w:asciiTheme="minorHAnsi" w:eastAsia="Calibri" w:hAnsiTheme="minorHAnsi"/>
          <w:sz w:val="22"/>
        </w:rPr>
        <w:lastRenderedPageBreak/>
        <w:t xml:space="preserve">Center for Disease Control and Prevention. </w:t>
      </w:r>
      <w:r w:rsidRPr="001C6A26">
        <w:rPr>
          <w:rFonts w:asciiTheme="minorHAnsi" w:eastAsia="Calibri" w:hAnsiTheme="minorHAnsi"/>
          <w:i/>
          <w:sz w:val="22"/>
        </w:rPr>
        <w:t>JAMA: The Journal of the American Medical Association</w:t>
      </w:r>
      <w:r w:rsidRPr="001C6A26">
        <w:rPr>
          <w:rFonts w:asciiTheme="minorHAnsi" w:eastAsia="Calibri" w:hAnsiTheme="minorHAnsi"/>
          <w:sz w:val="22"/>
        </w:rPr>
        <w:t xml:space="preserve">. </w:t>
      </w:r>
      <w:hyperlink r:id="rId62">
        <w:r w:rsidRPr="001C6A26">
          <w:rPr>
            <w:rStyle w:val="Hyperlink"/>
            <w:rFonts w:asciiTheme="minorHAnsi" w:eastAsia="Calibri" w:hAnsiTheme="minorHAnsi"/>
            <w:sz w:val="22"/>
          </w:rPr>
          <w:t>https://doi.org/10.1001/jama.2020.2648</w:t>
        </w:r>
      </w:hyperlink>
    </w:p>
    <w:p w14:paraId="5010B182"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2B769FD2"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Yang, X., Yu, Y., Xu, J., Shu, H., Xia, J. ’an, Liu, H., Wu, Y., Zhang, L., Yu, Z., Fang, M., Yu, T., Wang, Y., Pan, S., Zou, X., Yuan, S., &amp; Shang, Y. (2020). Clinical course and outcomes of critically ill patients with SARS-CoV-2 pneumonia in Wuhan, China: a single-centered, retrospective, observational study. </w:t>
      </w:r>
      <w:r w:rsidRPr="001C6A26">
        <w:rPr>
          <w:rFonts w:asciiTheme="minorHAnsi" w:eastAsia="Calibri" w:hAnsiTheme="minorHAnsi"/>
          <w:i/>
          <w:sz w:val="22"/>
        </w:rPr>
        <w:t>The Lancet. Respiratory Medicine</w:t>
      </w:r>
      <w:r w:rsidRPr="001C6A26">
        <w:rPr>
          <w:rFonts w:asciiTheme="minorHAnsi" w:eastAsia="Calibri" w:hAnsiTheme="minorHAnsi"/>
          <w:sz w:val="22"/>
        </w:rPr>
        <w:t xml:space="preserve">. </w:t>
      </w:r>
      <w:hyperlink r:id="rId63">
        <w:r w:rsidRPr="001C6A26">
          <w:rPr>
            <w:rStyle w:val="Hyperlink"/>
            <w:rFonts w:asciiTheme="minorHAnsi" w:eastAsia="Calibri" w:hAnsiTheme="minorHAnsi"/>
            <w:sz w:val="22"/>
          </w:rPr>
          <w:t>https://doi.org/10.1016/S2213-2600(20)30079-5</w:t>
        </w:r>
      </w:hyperlink>
    </w:p>
    <w:p w14:paraId="00DDFBBB"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 </w:t>
      </w:r>
    </w:p>
    <w:p w14:paraId="5F0EF080" w14:textId="77777777" w:rsidR="00BF3B4F" w:rsidRPr="001C6A26" w:rsidRDefault="001C6A26">
      <w:pPr>
        <w:rPr>
          <w:rFonts w:asciiTheme="minorHAnsi" w:eastAsia="Calibri" w:hAnsiTheme="minorHAnsi"/>
        </w:rPr>
      </w:pPr>
      <w:r w:rsidRPr="001C6A26">
        <w:rPr>
          <w:rFonts w:asciiTheme="minorHAnsi" w:eastAsia="Calibri" w:hAnsiTheme="minorHAnsi"/>
          <w:sz w:val="22"/>
        </w:rPr>
        <w:t xml:space="preserve">Zhou, F., Yu, T., Du, R., Fan, G., Liu, Y., Liu, Z., Xiang, J., Wang, Y., Song, B., Gu, X., Guan, L., Wei, Y., Li, H., Wu, X., Xu, J., Tu, S., Zhang, Y., Chen, H., &amp; Cao, B. (2020). Clinical course and risk factors for mortality of adult inpatients with COVID-19 in Wuhan, China: a retrospective cohort study. </w:t>
      </w:r>
      <w:r w:rsidRPr="001C6A26">
        <w:rPr>
          <w:rFonts w:asciiTheme="minorHAnsi" w:eastAsia="Calibri" w:hAnsiTheme="minorHAnsi"/>
          <w:i/>
          <w:sz w:val="22"/>
        </w:rPr>
        <w:t>The Lancet</w:t>
      </w:r>
      <w:r w:rsidRPr="001C6A26">
        <w:rPr>
          <w:rFonts w:asciiTheme="minorHAnsi" w:eastAsia="Calibri" w:hAnsiTheme="minorHAnsi"/>
          <w:sz w:val="22"/>
        </w:rPr>
        <w:t xml:space="preserve">, </w:t>
      </w:r>
      <w:r w:rsidRPr="001C6A26">
        <w:rPr>
          <w:rFonts w:asciiTheme="minorHAnsi" w:eastAsia="Calibri" w:hAnsiTheme="minorHAnsi"/>
          <w:i/>
          <w:sz w:val="22"/>
        </w:rPr>
        <w:t>395</w:t>
      </w:r>
      <w:r w:rsidRPr="001C6A26">
        <w:rPr>
          <w:rFonts w:asciiTheme="minorHAnsi" w:eastAsia="Calibri" w:hAnsiTheme="minorHAnsi"/>
          <w:sz w:val="22"/>
        </w:rPr>
        <w:t>(10229), 1054–1062.</w:t>
      </w:r>
    </w:p>
    <w:sectPr w:rsidR="00BF3B4F" w:rsidRPr="001C6A26" w:rsidSect="001C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58C"/>
    <w:multiLevelType w:val="multilevel"/>
    <w:tmpl w:val="BB12537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103D8"/>
    <w:multiLevelType w:val="hybridMultilevel"/>
    <w:tmpl w:val="3558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475F3"/>
    <w:multiLevelType w:val="hybridMultilevel"/>
    <w:tmpl w:val="F9527AE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92F66"/>
    <w:multiLevelType w:val="hybridMultilevel"/>
    <w:tmpl w:val="3AFAD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71105"/>
    <w:multiLevelType w:val="hybridMultilevel"/>
    <w:tmpl w:val="EC948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B11C6"/>
    <w:multiLevelType w:val="multilevel"/>
    <w:tmpl w:val="1F9E7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4F"/>
    <w:rsid w:val="00015025"/>
    <w:rsid w:val="00015B91"/>
    <w:rsid w:val="0002693B"/>
    <w:rsid w:val="00027D8F"/>
    <w:rsid w:val="00066C3F"/>
    <w:rsid w:val="000779AE"/>
    <w:rsid w:val="000B25E1"/>
    <w:rsid w:val="000B512C"/>
    <w:rsid w:val="000C66C0"/>
    <w:rsid w:val="000E6834"/>
    <w:rsid w:val="000F2E39"/>
    <w:rsid w:val="00106706"/>
    <w:rsid w:val="00121C03"/>
    <w:rsid w:val="00143236"/>
    <w:rsid w:val="001520DF"/>
    <w:rsid w:val="00156681"/>
    <w:rsid w:val="0016239F"/>
    <w:rsid w:val="00171B77"/>
    <w:rsid w:val="00180901"/>
    <w:rsid w:val="00187FBE"/>
    <w:rsid w:val="001B36CE"/>
    <w:rsid w:val="001C0C4B"/>
    <w:rsid w:val="001C6A26"/>
    <w:rsid w:val="002029D3"/>
    <w:rsid w:val="00207166"/>
    <w:rsid w:val="0022386B"/>
    <w:rsid w:val="002332CE"/>
    <w:rsid w:val="00273015"/>
    <w:rsid w:val="00274C64"/>
    <w:rsid w:val="00284233"/>
    <w:rsid w:val="002A1FE7"/>
    <w:rsid w:val="002C794B"/>
    <w:rsid w:val="002E0CED"/>
    <w:rsid w:val="00311C49"/>
    <w:rsid w:val="003129DC"/>
    <w:rsid w:val="00342D8B"/>
    <w:rsid w:val="00361BE2"/>
    <w:rsid w:val="003815CF"/>
    <w:rsid w:val="0038683D"/>
    <w:rsid w:val="00394DB9"/>
    <w:rsid w:val="003966C6"/>
    <w:rsid w:val="003A4957"/>
    <w:rsid w:val="003C7EC9"/>
    <w:rsid w:val="003D5807"/>
    <w:rsid w:val="003F7299"/>
    <w:rsid w:val="00415092"/>
    <w:rsid w:val="00422B5B"/>
    <w:rsid w:val="00424A17"/>
    <w:rsid w:val="00440605"/>
    <w:rsid w:val="0044282C"/>
    <w:rsid w:val="004500CD"/>
    <w:rsid w:val="00450701"/>
    <w:rsid w:val="004628B6"/>
    <w:rsid w:val="00494F98"/>
    <w:rsid w:val="00497983"/>
    <w:rsid w:val="004C116D"/>
    <w:rsid w:val="004C3896"/>
    <w:rsid w:val="004E7601"/>
    <w:rsid w:val="004F4302"/>
    <w:rsid w:val="004F6283"/>
    <w:rsid w:val="004F62C5"/>
    <w:rsid w:val="005036DA"/>
    <w:rsid w:val="00593B00"/>
    <w:rsid w:val="005C426F"/>
    <w:rsid w:val="005D5757"/>
    <w:rsid w:val="00604CBC"/>
    <w:rsid w:val="00625926"/>
    <w:rsid w:val="0064480C"/>
    <w:rsid w:val="006511C0"/>
    <w:rsid w:val="006622C0"/>
    <w:rsid w:val="00693B14"/>
    <w:rsid w:val="006A250B"/>
    <w:rsid w:val="006B0F60"/>
    <w:rsid w:val="006B5B0B"/>
    <w:rsid w:val="0070680F"/>
    <w:rsid w:val="00715E76"/>
    <w:rsid w:val="007327EB"/>
    <w:rsid w:val="00751C3D"/>
    <w:rsid w:val="00777541"/>
    <w:rsid w:val="00784FB6"/>
    <w:rsid w:val="007A4237"/>
    <w:rsid w:val="007B2744"/>
    <w:rsid w:val="007E0892"/>
    <w:rsid w:val="00807FD6"/>
    <w:rsid w:val="00832787"/>
    <w:rsid w:val="00853A92"/>
    <w:rsid w:val="00867089"/>
    <w:rsid w:val="00870FF7"/>
    <w:rsid w:val="0087689B"/>
    <w:rsid w:val="008B27A7"/>
    <w:rsid w:val="008B6910"/>
    <w:rsid w:val="008C306D"/>
    <w:rsid w:val="008D709B"/>
    <w:rsid w:val="00904ADA"/>
    <w:rsid w:val="0090748E"/>
    <w:rsid w:val="00930A46"/>
    <w:rsid w:val="0095212E"/>
    <w:rsid w:val="009611B3"/>
    <w:rsid w:val="009700CC"/>
    <w:rsid w:val="00974B13"/>
    <w:rsid w:val="00975BD0"/>
    <w:rsid w:val="00987987"/>
    <w:rsid w:val="009B73FA"/>
    <w:rsid w:val="00A10E34"/>
    <w:rsid w:val="00A339C4"/>
    <w:rsid w:val="00A43390"/>
    <w:rsid w:val="00A51545"/>
    <w:rsid w:val="00A83240"/>
    <w:rsid w:val="00A91B75"/>
    <w:rsid w:val="00A92843"/>
    <w:rsid w:val="00AB6DDD"/>
    <w:rsid w:val="00B035C9"/>
    <w:rsid w:val="00B10D03"/>
    <w:rsid w:val="00B13227"/>
    <w:rsid w:val="00B32159"/>
    <w:rsid w:val="00B3459D"/>
    <w:rsid w:val="00B41777"/>
    <w:rsid w:val="00B67E83"/>
    <w:rsid w:val="00B81B5D"/>
    <w:rsid w:val="00B863BB"/>
    <w:rsid w:val="00B914F5"/>
    <w:rsid w:val="00BA6226"/>
    <w:rsid w:val="00BB3A9F"/>
    <w:rsid w:val="00BC4E6C"/>
    <w:rsid w:val="00BC63B8"/>
    <w:rsid w:val="00BF3B4F"/>
    <w:rsid w:val="00BF525A"/>
    <w:rsid w:val="00C1064B"/>
    <w:rsid w:val="00C218B9"/>
    <w:rsid w:val="00C24D9B"/>
    <w:rsid w:val="00C75CBE"/>
    <w:rsid w:val="00C929A8"/>
    <w:rsid w:val="00C97AE5"/>
    <w:rsid w:val="00CB12A3"/>
    <w:rsid w:val="00CE1607"/>
    <w:rsid w:val="00CE6A98"/>
    <w:rsid w:val="00CF0E1D"/>
    <w:rsid w:val="00D00A05"/>
    <w:rsid w:val="00D16CC4"/>
    <w:rsid w:val="00D21EDD"/>
    <w:rsid w:val="00D45D9C"/>
    <w:rsid w:val="00D71186"/>
    <w:rsid w:val="00D73E09"/>
    <w:rsid w:val="00D92E14"/>
    <w:rsid w:val="00DA02C5"/>
    <w:rsid w:val="00DA3A18"/>
    <w:rsid w:val="00DC7154"/>
    <w:rsid w:val="00DD5F44"/>
    <w:rsid w:val="00DE7196"/>
    <w:rsid w:val="00E07479"/>
    <w:rsid w:val="00E45738"/>
    <w:rsid w:val="00E46802"/>
    <w:rsid w:val="00E713DD"/>
    <w:rsid w:val="00E9333A"/>
    <w:rsid w:val="00E94229"/>
    <w:rsid w:val="00EA33FA"/>
    <w:rsid w:val="00EC1F9F"/>
    <w:rsid w:val="00EC2BEE"/>
    <w:rsid w:val="00EE6382"/>
    <w:rsid w:val="00F00FF9"/>
    <w:rsid w:val="00F50C3C"/>
    <w:rsid w:val="00F6157A"/>
    <w:rsid w:val="00F701DF"/>
    <w:rsid w:val="00F71D7D"/>
    <w:rsid w:val="00F92AB0"/>
    <w:rsid w:val="00FA5C88"/>
    <w:rsid w:val="00FA5E5A"/>
    <w:rsid w:val="00FA661F"/>
    <w:rsid w:val="00FE48C3"/>
    <w:rsid w:val="05F05E5A"/>
    <w:rsid w:val="07FE9FBD"/>
    <w:rsid w:val="19708C91"/>
    <w:rsid w:val="364312C2"/>
    <w:rsid w:val="3A6EB0CF"/>
    <w:rsid w:val="42FF08A2"/>
    <w:rsid w:val="4D3E24F2"/>
    <w:rsid w:val="53F722C2"/>
    <w:rsid w:val="5A622E91"/>
    <w:rsid w:val="681598A2"/>
    <w:rsid w:val="7D08A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4BB37"/>
  <w15:docId w15:val="{431B5D4D-5F93-4B45-A8AC-10B8F13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AE"/>
  </w:style>
  <w:style w:type="paragraph" w:styleId="Heading1">
    <w:name w:val="heading 1"/>
    <w:basedOn w:val="Normal"/>
    <w:next w:val="Normal"/>
    <w:link w:val="Heading1Char"/>
    <w:uiPriority w:val="9"/>
    <w:qFormat/>
    <w:rsid w:val="00FA5C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C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C1F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C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C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C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79AE"/>
    <w:pPr>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0779AE"/>
    <w:pPr>
      <w:spacing w:after="200"/>
    </w:pPr>
    <w:rPr>
      <w:rFonts w:asciiTheme="minorHAnsi" w:eastAsiaTheme="minorHAnsi" w:hAnsiTheme="minorHAnsi" w:cstheme="minorBidi"/>
      <w:i/>
      <w:iCs/>
      <w:color w:val="44546A" w:themeColor="text2"/>
      <w:sz w:val="18"/>
      <w:szCs w:val="18"/>
    </w:rPr>
  </w:style>
  <w:style w:type="character" w:customStyle="1" w:styleId="Heading4Char">
    <w:name w:val="Heading 4 Char"/>
    <w:basedOn w:val="DefaultParagraphFont"/>
    <w:link w:val="Heading4"/>
    <w:uiPriority w:val="9"/>
    <w:semiHidden/>
    <w:rsid w:val="00EC1F9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EC1F9F"/>
    <w:rPr>
      <w:i/>
      <w:iCs/>
    </w:rPr>
  </w:style>
  <w:style w:type="character" w:styleId="Hyperlink">
    <w:name w:val="Hyperlink"/>
    <w:basedOn w:val="DefaultParagraphFont"/>
    <w:uiPriority w:val="99"/>
    <w:unhideWhenUsed/>
    <w:rsid w:val="00EC1F9F"/>
    <w:rPr>
      <w:strike w:val="0"/>
      <w:dstrike w:val="0"/>
      <w:color w:val="007398"/>
      <w:u w:val="none"/>
      <w:effect w:val="none"/>
      <w:shd w:val="clear" w:color="auto" w:fill="auto"/>
    </w:rPr>
  </w:style>
  <w:style w:type="character" w:customStyle="1" w:styleId="Heading2Char">
    <w:name w:val="Heading 2 Char"/>
    <w:basedOn w:val="DefaultParagraphFont"/>
    <w:link w:val="Heading2"/>
    <w:uiPriority w:val="9"/>
    <w:rsid w:val="00274C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63BB"/>
    <w:pPr>
      <w:spacing w:before="100" w:beforeAutospacing="1" w:after="100" w:afterAutospacing="1"/>
    </w:pPr>
  </w:style>
  <w:style w:type="paragraph" w:styleId="BalloonText">
    <w:name w:val="Balloon Text"/>
    <w:basedOn w:val="Normal"/>
    <w:link w:val="BalloonTextChar"/>
    <w:uiPriority w:val="99"/>
    <w:semiHidden/>
    <w:unhideWhenUsed/>
    <w:rsid w:val="00C929A8"/>
    <w:rPr>
      <w:sz w:val="18"/>
      <w:szCs w:val="18"/>
    </w:rPr>
  </w:style>
  <w:style w:type="character" w:customStyle="1" w:styleId="BalloonTextChar">
    <w:name w:val="Balloon Text Char"/>
    <w:basedOn w:val="DefaultParagraphFont"/>
    <w:link w:val="BalloonText"/>
    <w:uiPriority w:val="99"/>
    <w:semiHidden/>
    <w:rsid w:val="00C929A8"/>
    <w:rPr>
      <w:rFonts w:ascii="Times New Roman" w:eastAsia="Times New Roman" w:hAnsi="Times New Roman" w:cs="Times New Roman"/>
      <w:sz w:val="18"/>
      <w:szCs w:val="18"/>
    </w:rPr>
  </w:style>
  <w:style w:type="character" w:customStyle="1" w:styleId="apple-converted-space">
    <w:name w:val="apple-converted-space"/>
    <w:basedOn w:val="DefaultParagraphFont"/>
    <w:rsid w:val="006A250B"/>
  </w:style>
  <w:style w:type="paragraph" w:styleId="Revision">
    <w:name w:val="Revision"/>
    <w:hidden/>
    <w:uiPriority w:val="99"/>
    <w:semiHidden/>
    <w:rsid w:val="000779AE"/>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F701D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713DD"/>
    <w:rPr>
      <w:sz w:val="16"/>
      <w:szCs w:val="16"/>
    </w:rPr>
  </w:style>
  <w:style w:type="paragraph" w:styleId="CommentText">
    <w:name w:val="annotation text"/>
    <w:basedOn w:val="Normal"/>
    <w:link w:val="CommentTextChar"/>
    <w:uiPriority w:val="99"/>
    <w:semiHidden/>
    <w:unhideWhenUsed/>
    <w:rsid w:val="00E713DD"/>
    <w:rPr>
      <w:sz w:val="20"/>
      <w:szCs w:val="20"/>
    </w:rPr>
  </w:style>
  <w:style w:type="character" w:customStyle="1" w:styleId="CommentTextChar">
    <w:name w:val="Comment Text Char"/>
    <w:basedOn w:val="DefaultParagraphFont"/>
    <w:link w:val="CommentText"/>
    <w:uiPriority w:val="99"/>
    <w:semiHidden/>
    <w:rsid w:val="00E71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3DD"/>
    <w:rPr>
      <w:b/>
      <w:bCs/>
    </w:rPr>
  </w:style>
  <w:style w:type="character" w:customStyle="1" w:styleId="CommentSubjectChar">
    <w:name w:val="Comment Subject Char"/>
    <w:basedOn w:val="CommentTextChar"/>
    <w:link w:val="CommentSubject"/>
    <w:uiPriority w:val="99"/>
    <w:semiHidden/>
    <w:rsid w:val="00E713DD"/>
    <w:rPr>
      <w:rFonts w:ascii="Times New Roman" w:eastAsia="Times New Roman" w:hAnsi="Times New Roman" w:cs="Times New Roman"/>
      <w:b/>
      <w:bCs/>
      <w:sz w:val="20"/>
      <w:szCs w:val="20"/>
    </w:r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6Colorful-Accent11">
    <w:name w:val="Grid Table 6 Colorful - Accent 11"/>
    <w:basedOn w:val="TableNormal"/>
    <w:uiPriority w:val="51"/>
    <w:rsid w:val="00F71D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rsid w:val="00F71D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7Colorful-Accent51">
    <w:name w:val="Grid Table 7 Colorful - Accent 51"/>
    <w:basedOn w:val="TableNormal"/>
    <w:uiPriority w:val="52"/>
    <w:rsid w:val="00F71D7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6Colorful-Accent51">
    <w:name w:val="Grid Table 6 Colorful - Accent 51"/>
    <w:basedOn w:val="TableNormal"/>
    <w:uiPriority w:val="51"/>
    <w:rsid w:val="00F71D7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31">
    <w:name w:val="Grid Table 7 Colorful - Accent 31"/>
    <w:basedOn w:val="TableNormal"/>
    <w:uiPriority w:val="52"/>
    <w:rsid w:val="00F71D7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F71D7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51">
    <w:name w:val="List Table 2 - Accent 51"/>
    <w:basedOn w:val="TableNormal"/>
    <w:uiPriority w:val="47"/>
    <w:rsid w:val="00F71D7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7B7B7B"/>
    </w:rPr>
    <w:tblPr>
      <w:tblStyleRowBandSize w:val="1"/>
      <w:tblStyleColBandSize w:val="1"/>
      <w:tblCellMar>
        <w:left w:w="115" w:type="dxa"/>
        <w:right w:w="115" w:type="dxa"/>
      </w:tblCellMar>
    </w:tblPr>
    <w:tcPr>
      <w:shd w:val="clear" w:color="auto" w:fill="DEEBF6"/>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Pr>
      <w:color w:val="7B7B7B"/>
    </w:rPr>
    <w:tblPr>
      <w:tblStyleRowBandSize w:val="1"/>
      <w:tblStyleColBandSize w:val="1"/>
      <w:tblCellMar>
        <w:left w:w="115" w:type="dxa"/>
        <w:right w:w="115" w:type="dxa"/>
      </w:tblCellMar>
    </w:tblPr>
    <w:tcPr>
      <w:shd w:val="clear" w:color="auto" w:fill="DEEBF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color w:val="7B7B7B"/>
    </w:rPr>
    <w:tblPr>
      <w:tblStyleRowBandSize w:val="1"/>
      <w:tblStyleColBandSize w:val="1"/>
      <w:tblCellMar>
        <w:left w:w="115" w:type="dxa"/>
        <w:right w:w="115" w:type="dxa"/>
      </w:tblCellMar>
    </w:tblPr>
    <w:tcPr>
      <w:shd w:val="clear" w:color="auto" w:fill="DEEBF6"/>
    </w:tcPr>
  </w:style>
  <w:style w:type="table" w:customStyle="1" w:styleId="a2">
    <w:basedOn w:val="TableNormal"/>
    <w:rPr>
      <w:color w:val="7B7B7B"/>
    </w:rPr>
    <w:tblPr>
      <w:tblStyleRowBandSize w:val="1"/>
      <w:tblStyleColBandSize w:val="1"/>
      <w:tblCellMar>
        <w:left w:w="115" w:type="dxa"/>
        <w:right w:w="115" w:type="dxa"/>
      </w:tblCellMar>
    </w:tblPr>
    <w:tcPr>
      <w:shd w:val="clear" w:color="auto" w:fill="DEEBF6"/>
    </w:tcPr>
  </w:style>
  <w:style w:type="table" w:customStyle="1" w:styleId="a3">
    <w:basedOn w:val="TableNormal"/>
    <w:rPr>
      <w:color w:val="7B7B7B"/>
    </w:rPr>
    <w:tblPr>
      <w:tblStyleRowBandSize w:val="1"/>
      <w:tblStyleColBandSize w:val="1"/>
      <w:tblCellMar>
        <w:left w:w="115" w:type="dxa"/>
        <w:right w:w="115" w:type="dxa"/>
      </w:tblCellMar>
    </w:tblPr>
    <w:tcPr>
      <w:shd w:val="clear" w:color="auto" w:fill="DEEBF6"/>
    </w:tcPr>
  </w:style>
  <w:style w:type="table" w:customStyle="1" w:styleId="a4">
    <w:basedOn w:val="TableNormal"/>
    <w:rPr>
      <w:color w:val="7B7B7B"/>
    </w:rPr>
    <w:tblPr>
      <w:tblStyleRowBandSize w:val="1"/>
      <w:tblStyleColBandSize w:val="1"/>
      <w:tblCellMar>
        <w:left w:w="115" w:type="dxa"/>
        <w:right w:w="115" w:type="dxa"/>
      </w:tblCellMar>
    </w:tblPr>
    <w:tcPr>
      <w:shd w:val="clear" w:color="auto" w:fill="DEEBF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FollowedHyperlink">
    <w:name w:val="FollowedHyperlink"/>
    <w:basedOn w:val="DefaultParagraphFont"/>
    <w:uiPriority w:val="99"/>
    <w:semiHidden/>
    <w:unhideWhenUsed/>
    <w:rsid w:val="007E0892"/>
    <w:rPr>
      <w:color w:val="954F72" w:themeColor="followedHyperlink"/>
      <w:u w:val="single"/>
    </w:rPr>
  </w:style>
  <w:style w:type="character" w:styleId="UnresolvedMention">
    <w:name w:val="Unresolved Mention"/>
    <w:basedOn w:val="DefaultParagraphFont"/>
    <w:uiPriority w:val="99"/>
    <w:semiHidden/>
    <w:unhideWhenUsed/>
    <w:rsid w:val="007E0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98058">
      <w:bodyDiv w:val="1"/>
      <w:marLeft w:val="0"/>
      <w:marRight w:val="0"/>
      <w:marTop w:val="0"/>
      <w:marBottom w:val="0"/>
      <w:divBdr>
        <w:top w:val="none" w:sz="0" w:space="0" w:color="auto"/>
        <w:left w:val="none" w:sz="0" w:space="0" w:color="auto"/>
        <w:bottom w:val="none" w:sz="0" w:space="0" w:color="auto"/>
        <w:right w:val="none" w:sz="0" w:space="0" w:color="auto"/>
      </w:divBdr>
    </w:div>
    <w:div w:id="553544626">
      <w:bodyDiv w:val="1"/>
      <w:marLeft w:val="0"/>
      <w:marRight w:val="0"/>
      <w:marTop w:val="0"/>
      <w:marBottom w:val="0"/>
      <w:divBdr>
        <w:top w:val="none" w:sz="0" w:space="0" w:color="auto"/>
        <w:left w:val="none" w:sz="0" w:space="0" w:color="auto"/>
        <w:bottom w:val="none" w:sz="0" w:space="0" w:color="auto"/>
        <w:right w:val="none" w:sz="0" w:space="0" w:color="auto"/>
      </w:divBdr>
    </w:div>
    <w:div w:id="758330632">
      <w:bodyDiv w:val="1"/>
      <w:marLeft w:val="0"/>
      <w:marRight w:val="0"/>
      <w:marTop w:val="0"/>
      <w:marBottom w:val="0"/>
      <w:divBdr>
        <w:top w:val="none" w:sz="0" w:space="0" w:color="auto"/>
        <w:left w:val="none" w:sz="0" w:space="0" w:color="auto"/>
        <w:bottom w:val="none" w:sz="0" w:space="0" w:color="auto"/>
        <w:right w:val="none" w:sz="0" w:space="0" w:color="auto"/>
      </w:divBdr>
    </w:div>
    <w:div w:id="874930502">
      <w:bodyDiv w:val="1"/>
      <w:marLeft w:val="0"/>
      <w:marRight w:val="0"/>
      <w:marTop w:val="0"/>
      <w:marBottom w:val="0"/>
      <w:divBdr>
        <w:top w:val="none" w:sz="0" w:space="0" w:color="auto"/>
        <w:left w:val="none" w:sz="0" w:space="0" w:color="auto"/>
        <w:bottom w:val="none" w:sz="0" w:space="0" w:color="auto"/>
        <w:right w:val="none" w:sz="0" w:space="0" w:color="auto"/>
      </w:divBdr>
    </w:div>
    <w:div w:id="1013799150">
      <w:bodyDiv w:val="1"/>
      <w:marLeft w:val="0"/>
      <w:marRight w:val="0"/>
      <w:marTop w:val="0"/>
      <w:marBottom w:val="0"/>
      <w:divBdr>
        <w:top w:val="none" w:sz="0" w:space="0" w:color="auto"/>
        <w:left w:val="none" w:sz="0" w:space="0" w:color="auto"/>
        <w:bottom w:val="none" w:sz="0" w:space="0" w:color="auto"/>
        <w:right w:val="none" w:sz="0" w:space="0" w:color="auto"/>
      </w:divBdr>
    </w:div>
    <w:div w:id="1037924518">
      <w:bodyDiv w:val="1"/>
      <w:marLeft w:val="0"/>
      <w:marRight w:val="0"/>
      <w:marTop w:val="0"/>
      <w:marBottom w:val="0"/>
      <w:divBdr>
        <w:top w:val="none" w:sz="0" w:space="0" w:color="auto"/>
        <w:left w:val="none" w:sz="0" w:space="0" w:color="auto"/>
        <w:bottom w:val="none" w:sz="0" w:space="0" w:color="auto"/>
        <w:right w:val="none" w:sz="0" w:space="0" w:color="auto"/>
      </w:divBdr>
    </w:div>
    <w:div w:id="1128279869">
      <w:bodyDiv w:val="1"/>
      <w:marLeft w:val="0"/>
      <w:marRight w:val="0"/>
      <w:marTop w:val="0"/>
      <w:marBottom w:val="0"/>
      <w:divBdr>
        <w:top w:val="none" w:sz="0" w:space="0" w:color="auto"/>
        <w:left w:val="none" w:sz="0" w:space="0" w:color="auto"/>
        <w:bottom w:val="none" w:sz="0" w:space="0" w:color="auto"/>
        <w:right w:val="none" w:sz="0" w:space="0" w:color="auto"/>
      </w:divBdr>
    </w:div>
    <w:div w:id="1206261298">
      <w:bodyDiv w:val="1"/>
      <w:marLeft w:val="0"/>
      <w:marRight w:val="0"/>
      <w:marTop w:val="0"/>
      <w:marBottom w:val="0"/>
      <w:divBdr>
        <w:top w:val="none" w:sz="0" w:space="0" w:color="auto"/>
        <w:left w:val="none" w:sz="0" w:space="0" w:color="auto"/>
        <w:bottom w:val="none" w:sz="0" w:space="0" w:color="auto"/>
        <w:right w:val="none" w:sz="0" w:space="0" w:color="auto"/>
      </w:divBdr>
      <w:divsChild>
        <w:div w:id="750008661">
          <w:marLeft w:val="0"/>
          <w:marRight w:val="0"/>
          <w:marTop w:val="0"/>
          <w:marBottom w:val="0"/>
          <w:divBdr>
            <w:top w:val="none" w:sz="0" w:space="0" w:color="auto"/>
            <w:left w:val="none" w:sz="0" w:space="0" w:color="auto"/>
            <w:bottom w:val="none" w:sz="0" w:space="0" w:color="auto"/>
            <w:right w:val="none" w:sz="0" w:space="0" w:color="auto"/>
          </w:divBdr>
        </w:div>
      </w:divsChild>
    </w:div>
    <w:div w:id="1350641876">
      <w:bodyDiv w:val="1"/>
      <w:marLeft w:val="0"/>
      <w:marRight w:val="0"/>
      <w:marTop w:val="0"/>
      <w:marBottom w:val="0"/>
      <w:divBdr>
        <w:top w:val="none" w:sz="0" w:space="0" w:color="auto"/>
        <w:left w:val="none" w:sz="0" w:space="0" w:color="auto"/>
        <w:bottom w:val="none" w:sz="0" w:space="0" w:color="auto"/>
        <w:right w:val="none" w:sz="0" w:space="0" w:color="auto"/>
      </w:divBdr>
    </w:div>
    <w:div w:id="213466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eidi.Gracie@asu.edu" TargetMode="External"/><Relationship Id="rId21" Type="http://schemas.openxmlformats.org/officeDocument/2006/relationships/image" Target="media/image15.emf"/><Relationship Id="rId34" Type="http://schemas.openxmlformats.org/officeDocument/2006/relationships/hyperlink" Target="mailto:vpilling@deptofmed.arizona.edu" TargetMode="External"/><Relationship Id="rId42" Type="http://schemas.openxmlformats.org/officeDocument/2006/relationships/hyperlink" Target="mailto:NWoodbury@asu.edu" TargetMode="External"/><Relationship Id="rId47" Type="http://schemas.openxmlformats.org/officeDocument/2006/relationships/hyperlink" Target="https://doi.org/10.25561/77482" TargetMode="External"/><Relationship Id="rId50" Type="http://schemas.openxmlformats.org/officeDocument/2006/relationships/hyperlink" Target="https://doi.org/10.15585/mmwr.mm6913e1" TargetMode="External"/><Relationship Id="rId55" Type="http://schemas.openxmlformats.org/officeDocument/2006/relationships/hyperlink" Target="https://doi.org/10.1101/2020.02.03.20020248" TargetMode="External"/><Relationship Id="rId63" Type="http://schemas.openxmlformats.org/officeDocument/2006/relationships/hyperlink" Target="https://doi.org/10.1016/S2213-2600(20)30079-5" TargetMode="External"/><Relationship Id="rId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image" Target="media/image10.emf"/><Relationship Id="rId29" Type="http://schemas.openxmlformats.org/officeDocument/2006/relationships/hyperlink" Target="mailto:ken.komatsu@azdhs.gov" TargetMode="External"/><Relationship Id="rId11" Type="http://schemas.openxmlformats.org/officeDocument/2006/relationships/image" Target="media/image5.emf"/><Relationship Id="rId24" Type="http://schemas.openxmlformats.org/officeDocument/2006/relationships/hyperlink" Target="mailto:timothy.flood@azdhs.gov" TargetMode="External"/><Relationship Id="rId32" Type="http://schemas.openxmlformats.org/officeDocument/2006/relationships/hyperlink" Target="mailto:armuldoo@asu.edu" TargetMode="External"/><Relationship Id="rId37" Type="http://schemas.openxmlformats.org/officeDocument/2006/relationships/hyperlink" Target="mailto:heather.m.ross@asu.edu" TargetMode="External"/><Relationship Id="rId40" Type="http://schemas.openxmlformats.org/officeDocument/2006/relationships/hyperlink" Target="mailto:lisa.villarroel@azdhs.gov" TargetMode="External"/><Relationship Id="rId45" Type="http://schemas.openxmlformats.org/officeDocument/2006/relationships/hyperlink" Target="https://doi.org/10.3201/eid2606.200412" TargetMode="External"/><Relationship Id="rId53" Type="http://schemas.openxmlformats.org/officeDocument/2006/relationships/hyperlink" Target="https://www.medrxiv.org/content/10.1101/2020.03.10.20032136v1.full.pdf" TargetMode="External"/><Relationship Id="rId58" Type="http://schemas.openxmlformats.org/officeDocument/2006/relationships/hyperlink" Target="https://www.thelancet.com/action/showPdf?pii=S1473-3099%2820%2930243-7" TargetMode="External"/><Relationship Id="rId5" Type="http://schemas.openxmlformats.org/officeDocument/2006/relationships/settings" Target="settings.xml"/><Relationship Id="rId61" Type="http://schemas.openxmlformats.org/officeDocument/2006/relationships/hyperlink" Target="https://doi.org/10.1038/s41591-020-0822-7" TargetMode="External"/><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hyperlink" Target="mailto:amber.asburry@azdhs.gov" TargetMode="External"/><Relationship Id="rId27" Type="http://schemas.openxmlformats.org/officeDocument/2006/relationships/hyperlink" Target="mailto:khiller@aemrc.arizona.edu" TargetMode="External"/><Relationship Id="rId30" Type="http://schemas.openxmlformats.org/officeDocument/2006/relationships/hyperlink" Target="mailto:tim.lant@asu.edu" TargetMode="External"/><Relationship Id="rId35" Type="http://schemas.openxmlformats.org/officeDocument/2006/relationships/hyperlink" Target="mailto:trichards@asu.edu" TargetMode="External"/><Relationship Id="rId43" Type="http://schemas.openxmlformats.org/officeDocument/2006/relationships/image" Target="media/image16.emf"/><Relationship Id="rId48" Type="http://schemas.openxmlformats.org/officeDocument/2006/relationships/hyperlink" Target="https://doi.org/10.1001/jama.2020.4031" TargetMode="External"/><Relationship Id="rId56" Type="http://schemas.openxmlformats.org/officeDocument/2006/relationships/hyperlink" Target="https://doi.org/10.1101/2020.03.21.20040303" TargetMode="External"/><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hyperlink" Target="https://doi.org/10.7326/M20-0504" TargetMode="External"/><Relationship Id="rId3" Type="http://schemas.openxmlformats.org/officeDocument/2006/relationships/numbering" Target="numbering.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mailto:geraldj@arizona.edu" TargetMode="External"/><Relationship Id="rId33" Type="http://schemas.openxmlformats.org/officeDocument/2006/relationships/hyperlink" Target="mailto:esma.gel@asu.edu" TargetMode="External"/><Relationship Id="rId38" Type="http://schemas.openxmlformats.org/officeDocument/2006/relationships/hyperlink" Target="mailto:george.runger@asu.edu" TargetMode="External"/><Relationship Id="rId46" Type="http://schemas.openxmlformats.org/officeDocument/2006/relationships/hyperlink" Target="https://doi.org/10.1016/j.jinf.2020.03.004" TargetMode="External"/><Relationship Id="rId59" Type="http://schemas.openxmlformats.org/officeDocument/2006/relationships/hyperlink" Target="https://doi.org/10.1001/jama.2020.1585" TargetMode="External"/><Relationship Id="rId20" Type="http://schemas.openxmlformats.org/officeDocument/2006/relationships/image" Target="media/image14.emf"/><Relationship Id="rId41" Type="http://schemas.openxmlformats.org/officeDocument/2006/relationships/hyperlink" Target="mailto:wightman@email.arizona.edu" TargetMode="External"/><Relationship Id="rId54" Type="http://schemas.openxmlformats.org/officeDocument/2006/relationships/hyperlink" Target="https://doi.org/10.2807/1560-7917.ES.2020.25.10.2000180" TargetMode="External"/><Relationship Id="rId62" Type="http://schemas.openxmlformats.org/officeDocument/2006/relationships/hyperlink" Target="https://doi.org/10.1001/jama.2020.26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hyperlink" Target="mailto:steven.bailey@azdhs.gov" TargetMode="External"/><Relationship Id="rId28" Type="http://schemas.openxmlformats.org/officeDocument/2006/relationships/hyperlink" Target="mailto:megan.jehn@asu.edu" TargetMode="External"/><Relationship Id="rId36" Type="http://schemas.openxmlformats.org/officeDocument/2006/relationships/hyperlink" Target="mailto:Timothy.James@asu.edu" TargetMode="External"/><Relationship Id="rId49" Type="http://schemas.openxmlformats.org/officeDocument/2006/relationships/hyperlink" Target="https://doi.org/10.1056/NEJMoa2002032" TargetMode="External"/><Relationship Id="rId57" Type="http://schemas.openxmlformats.org/officeDocument/2006/relationships/hyperlink" Target="https://doi.org/10.1101/2020.03.03.20029983" TargetMode="External"/><Relationship Id="rId10" Type="http://schemas.openxmlformats.org/officeDocument/2006/relationships/image" Target="media/image4.emf"/><Relationship Id="rId31" Type="http://schemas.openxmlformats.org/officeDocument/2006/relationships/hyperlink" Target="mailto:manfredo@asu.edu" TargetMode="External"/><Relationship Id="rId44" Type="http://schemas.openxmlformats.org/officeDocument/2006/relationships/image" Target="media/image17.emf"/><Relationship Id="rId52" Type="http://schemas.openxmlformats.org/officeDocument/2006/relationships/hyperlink" Target="https://doi.org/10.1126/science.abb3221" TargetMode="External"/><Relationship Id="rId60" Type="http://schemas.openxmlformats.org/officeDocument/2006/relationships/hyperlink" Target="https://doi.org/10.1038/s41586-020-2196-x"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hyperlink" Target="mailto:marguerite.sagna-kemp@az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vrCkpMYhC2TN02Ebzg0cNNgQg==">AMUW2mVn45ByGFEA6FAi+QkTD4EU7xVh7Hcy8UGf0an2yFLPJJiAikkHLT8C1YbWNX0keG6cQpWGdWOjftHweGF0VSae0Q6894VF3wzcr/8NJRap8rDmS/USPUVN8A4o4PORrodo+I/5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EC5044-D7C4-DC48-A89D-89AFCA7F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6345</Words>
  <Characters>36171</Characters>
  <Application>Microsoft Office Word</Application>
  <DocSecurity>0</DocSecurity>
  <Lines>301</Lines>
  <Paragraphs>84</Paragraphs>
  <ScaleCrop>false</ScaleCrop>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Lant</dc:creator>
  <cp:lastModifiedBy>Timothy Lant</cp:lastModifiedBy>
  <cp:revision>2</cp:revision>
  <dcterms:created xsi:type="dcterms:W3CDTF">2020-04-23T01:10:00Z</dcterms:created>
  <dcterms:modified xsi:type="dcterms:W3CDTF">2020-04-23T01:10:00Z</dcterms:modified>
</cp:coreProperties>
</file>